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024BD" w14:textId="151CA46C" w:rsidR="00DF428D" w:rsidRPr="002415EC" w:rsidRDefault="007034FD" w:rsidP="00DF428D">
      <w:pPr>
        <w:spacing w:line="360" w:lineRule="auto"/>
        <w:jc w:val="center"/>
        <w:rPr>
          <w:rFonts w:ascii="Times New Roman" w:hAnsi="Times New Roman" w:cs="Times New Roman"/>
          <w:b/>
          <w:caps/>
          <w:sz w:val="24"/>
          <w:szCs w:val="24"/>
        </w:rPr>
      </w:pPr>
      <w:r w:rsidRPr="002415EC">
        <w:rPr>
          <w:rFonts w:ascii="Times New Roman" w:hAnsi="Times New Roman" w:cs="Times New Roman"/>
          <w:b/>
          <w:caps/>
          <w:sz w:val="24"/>
          <w:szCs w:val="24"/>
        </w:rPr>
        <w:t xml:space="preserve">RECONHECIMENTO E MENSURAÇÃO DE </w:t>
      </w:r>
      <w:r w:rsidR="005B6A0D" w:rsidRPr="002415EC">
        <w:rPr>
          <w:rFonts w:ascii="Times New Roman" w:hAnsi="Times New Roman" w:cs="Times New Roman"/>
          <w:b/>
          <w:caps/>
          <w:sz w:val="24"/>
          <w:szCs w:val="24"/>
        </w:rPr>
        <w:t xml:space="preserve">INSTRUMENTOS FINANCEIROS: IMPACTO </w:t>
      </w:r>
      <w:r w:rsidRPr="002415EC">
        <w:rPr>
          <w:rFonts w:ascii="Times New Roman" w:hAnsi="Times New Roman" w:cs="Times New Roman"/>
          <w:b/>
          <w:caps/>
          <w:sz w:val="24"/>
          <w:szCs w:val="24"/>
        </w:rPr>
        <w:t xml:space="preserve">DA ifrs 9 </w:t>
      </w:r>
      <w:r w:rsidR="005B6A0D" w:rsidRPr="002415EC">
        <w:rPr>
          <w:rFonts w:ascii="Times New Roman" w:hAnsi="Times New Roman" w:cs="Times New Roman"/>
          <w:b/>
          <w:caps/>
          <w:sz w:val="24"/>
          <w:szCs w:val="24"/>
        </w:rPr>
        <w:t>NAS DEMONSTRAÇÕES FINANCEIRAS</w:t>
      </w:r>
      <w:r w:rsidR="00A354F8">
        <w:rPr>
          <w:rFonts w:ascii="Times New Roman" w:hAnsi="Times New Roman" w:cs="Times New Roman"/>
          <w:b/>
          <w:caps/>
          <w:sz w:val="24"/>
          <w:szCs w:val="24"/>
        </w:rPr>
        <w:t xml:space="preserve"> das seguradoras no brasil</w:t>
      </w:r>
    </w:p>
    <w:p w14:paraId="5696A003" w14:textId="2DB67683" w:rsidR="00561B24" w:rsidRDefault="00561B24" w:rsidP="002415EC">
      <w:pPr>
        <w:spacing w:line="360" w:lineRule="auto"/>
        <w:jc w:val="center"/>
        <w:rPr>
          <w:rFonts w:ascii="Times New Roman" w:hAnsi="Times New Roman" w:cs="Times New Roman"/>
          <w:b/>
          <w:sz w:val="24"/>
          <w:szCs w:val="24"/>
        </w:rPr>
      </w:pPr>
      <w:r w:rsidRPr="002415EC">
        <w:rPr>
          <w:rFonts w:ascii="Times New Roman" w:hAnsi="Times New Roman" w:cs="Times New Roman"/>
          <w:b/>
          <w:sz w:val="24"/>
          <w:szCs w:val="24"/>
        </w:rPr>
        <w:t>M</w:t>
      </w:r>
      <w:r w:rsidR="00DF428D" w:rsidRPr="002415EC">
        <w:rPr>
          <w:rFonts w:ascii="Times New Roman" w:hAnsi="Times New Roman" w:cs="Times New Roman"/>
          <w:b/>
          <w:sz w:val="24"/>
          <w:szCs w:val="24"/>
        </w:rPr>
        <w:t>arcelo</w:t>
      </w:r>
      <w:r w:rsidRPr="002415EC">
        <w:rPr>
          <w:rFonts w:ascii="Times New Roman" w:hAnsi="Times New Roman" w:cs="Times New Roman"/>
          <w:b/>
          <w:sz w:val="24"/>
          <w:szCs w:val="24"/>
        </w:rPr>
        <w:t xml:space="preserve"> B</w:t>
      </w:r>
      <w:r w:rsidR="00DF428D" w:rsidRPr="002415EC">
        <w:rPr>
          <w:rFonts w:ascii="Times New Roman" w:hAnsi="Times New Roman" w:cs="Times New Roman"/>
          <w:b/>
          <w:sz w:val="24"/>
          <w:szCs w:val="24"/>
        </w:rPr>
        <w:t xml:space="preserve">arreto </w:t>
      </w:r>
      <w:r w:rsidRPr="002415EC">
        <w:rPr>
          <w:rFonts w:ascii="Times New Roman" w:hAnsi="Times New Roman" w:cs="Times New Roman"/>
          <w:b/>
          <w:sz w:val="24"/>
          <w:szCs w:val="24"/>
        </w:rPr>
        <w:t>C</w:t>
      </w:r>
      <w:r w:rsidR="00DF428D" w:rsidRPr="002415EC">
        <w:rPr>
          <w:rFonts w:ascii="Times New Roman" w:hAnsi="Times New Roman" w:cs="Times New Roman"/>
          <w:b/>
          <w:sz w:val="24"/>
          <w:szCs w:val="24"/>
        </w:rPr>
        <w:t>rote</w:t>
      </w:r>
    </w:p>
    <w:p w14:paraId="6C24E37B" w14:textId="035DC9A0" w:rsidR="002415EC" w:rsidRDefault="002415EC" w:rsidP="002415EC">
      <w:pPr>
        <w:spacing w:line="360" w:lineRule="auto"/>
        <w:jc w:val="center"/>
        <w:rPr>
          <w:rFonts w:ascii="Times New Roman" w:hAnsi="Times New Roman" w:cs="Times New Roman"/>
          <w:sz w:val="24"/>
          <w:szCs w:val="24"/>
        </w:rPr>
      </w:pPr>
      <w:r>
        <w:rPr>
          <w:rFonts w:ascii="Times New Roman" w:hAnsi="Times New Roman" w:cs="Times New Roman"/>
          <w:sz w:val="24"/>
          <w:szCs w:val="24"/>
        </w:rPr>
        <w:t>Fundação Escola de Comércio Álvares Penteado – FECAP,</w:t>
      </w:r>
      <w:r w:rsidR="001826EA">
        <w:rPr>
          <w:rFonts w:ascii="Times New Roman" w:hAnsi="Times New Roman" w:cs="Times New Roman"/>
          <w:sz w:val="24"/>
          <w:szCs w:val="24"/>
        </w:rPr>
        <w:t xml:space="preserve"> Mestrado em Ciências Contábeis, São Paulo, Brasil.</w:t>
      </w:r>
    </w:p>
    <w:p w14:paraId="31AA842E" w14:textId="00BE1D32" w:rsidR="00A812CB" w:rsidRDefault="00FC7FD2" w:rsidP="001E3B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Profa. Dra. </w:t>
      </w:r>
      <w:proofErr w:type="spellStart"/>
      <w:r w:rsidR="00A812CB">
        <w:rPr>
          <w:rFonts w:ascii="Times New Roman" w:hAnsi="Times New Roman" w:cs="Times New Roman"/>
          <w:b/>
          <w:sz w:val="24"/>
          <w:szCs w:val="24"/>
        </w:rPr>
        <w:t>Elionor</w:t>
      </w:r>
      <w:proofErr w:type="spellEnd"/>
      <w:r w:rsidR="00A812CB">
        <w:rPr>
          <w:rFonts w:ascii="Times New Roman" w:hAnsi="Times New Roman" w:cs="Times New Roman"/>
          <w:b/>
          <w:sz w:val="24"/>
          <w:szCs w:val="24"/>
        </w:rPr>
        <w:t xml:space="preserve"> Farah </w:t>
      </w:r>
      <w:proofErr w:type="spellStart"/>
      <w:r w:rsidR="00A812CB">
        <w:rPr>
          <w:rFonts w:ascii="Times New Roman" w:hAnsi="Times New Roman" w:cs="Times New Roman"/>
          <w:b/>
          <w:sz w:val="24"/>
          <w:szCs w:val="24"/>
        </w:rPr>
        <w:t>Jreige</w:t>
      </w:r>
      <w:proofErr w:type="spellEnd"/>
      <w:r w:rsidR="00A812CB">
        <w:rPr>
          <w:rFonts w:ascii="Times New Roman" w:hAnsi="Times New Roman" w:cs="Times New Roman"/>
          <w:b/>
          <w:sz w:val="24"/>
          <w:szCs w:val="24"/>
        </w:rPr>
        <w:t xml:space="preserve"> Weffort</w:t>
      </w:r>
    </w:p>
    <w:p w14:paraId="631A2F2C" w14:textId="28767DE6" w:rsidR="00A812CB" w:rsidRPr="00A812CB" w:rsidRDefault="00A812CB" w:rsidP="001E3B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Fundação Escola de Comércio Álvares Penteado – FECAP, Orientadora do Mestrado em Ciências Contábeis, São Paulo, Brasil.</w:t>
      </w:r>
    </w:p>
    <w:p w14:paraId="1B1A9989" w14:textId="279FCB83" w:rsidR="00E44CBD" w:rsidRDefault="00FC7FD2" w:rsidP="001E3B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Prof. Dr. </w:t>
      </w:r>
      <w:r w:rsidR="00E44CBD">
        <w:rPr>
          <w:rFonts w:ascii="Times New Roman" w:hAnsi="Times New Roman" w:cs="Times New Roman"/>
          <w:b/>
          <w:sz w:val="24"/>
          <w:szCs w:val="24"/>
        </w:rPr>
        <w:t xml:space="preserve">Marcos Reinaldo Severino </w:t>
      </w:r>
      <w:proofErr w:type="spellStart"/>
      <w:r w:rsidR="00E44CBD">
        <w:rPr>
          <w:rFonts w:ascii="Times New Roman" w:hAnsi="Times New Roman" w:cs="Times New Roman"/>
          <w:b/>
          <w:sz w:val="24"/>
          <w:szCs w:val="24"/>
        </w:rPr>
        <w:t>Peters</w:t>
      </w:r>
      <w:proofErr w:type="spellEnd"/>
    </w:p>
    <w:p w14:paraId="6680E2C0" w14:textId="01EA898E" w:rsidR="00E44CBD" w:rsidRDefault="00E44CBD" w:rsidP="001E3B3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Fundação Escola de Comércio Álvar</w:t>
      </w:r>
      <w:r w:rsidR="001E3B34">
        <w:rPr>
          <w:rFonts w:ascii="Times New Roman" w:hAnsi="Times New Roman" w:cs="Times New Roman"/>
          <w:sz w:val="24"/>
          <w:szCs w:val="24"/>
        </w:rPr>
        <w:t>es Penteado – FECAP, Orientador</w:t>
      </w:r>
      <w:r>
        <w:rPr>
          <w:rFonts w:ascii="Times New Roman" w:hAnsi="Times New Roman" w:cs="Times New Roman"/>
          <w:sz w:val="24"/>
          <w:szCs w:val="24"/>
        </w:rPr>
        <w:t xml:space="preserve"> do Mestrado em Ciências Contábeis, São Paulo, Brasil.</w:t>
      </w:r>
    </w:p>
    <w:p w14:paraId="0C87D148" w14:textId="77777777" w:rsidR="001E3B34" w:rsidRDefault="001E3B34" w:rsidP="001E3B3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Prof. Dr. Antonio Benedito Silva Oliveira</w:t>
      </w:r>
    </w:p>
    <w:p w14:paraId="1D20522E" w14:textId="16D5BEE7" w:rsidR="001E3B34" w:rsidRPr="00A812CB" w:rsidRDefault="001E3B34" w:rsidP="001E3B34">
      <w:pPr>
        <w:spacing w:line="360" w:lineRule="auto"/>
        <w:jc w:val="center"/>
        <w:rPr>
          <w:rFonts w:ascii="Times New Roman" w:hAnsi="Times New Roman" w:cs="Times New Roman"/>
          <w:sz w:val="24"/>
          <w:szCs w:val="24"/>
        </w:rPr>
      </w:pPr>
      <w:r>
        <w:rPr>
          <w:rFonts w:ascii="Times New Roman" w:hAnsi="Times New Roman" w:cs="Times New Roman"/>
          <w:sz w:val="24"/>
          <w:szCs w:val="24"/>
        </w:rPr>
        <w:t>Pontifícia Universidade Católica de São Paulo, Orientador do Mestrado em Ciências Contábeis, São Paulo, Brasil.</w:t>
      </w:r>
    </w:p>
    <w:p w14:paraId="39BC8400" w14:textId="542EFA19" w:rsidR="00B964C7" w:rsidRPr="00141C43" w:rsidRDefault="00B964C7" w:rsidP="0023362B">
      <w:pPr>
        <w:jc w:val="center"/>
        <w:rPr>
          <w:rFonts w:ascii="Times New Roman" w:hAnsi="Times New Roman" w:cs="Times New Roman"/>
          <w:b/>
          <w:sz w:val="24"/>
          <w:szCs w:val="24"/>
        </w:rPr>
      </w:pPr>
      <w:r w:rsidRPr="00141C43">
        <w:rPr>
          <w:rFonts w:ascii="Times New Roman" w:hAnsi="Times New Roman" w:cs="Times New Roman"/>
          <w:b/>
          <w:sz w:val="24"/>
          <w:szCs w:val="24"/>
        </w:rPr>
        <w:t>Resumo</w:t>
      </w:r>
    </w:p>
    <w:p w14:paraId="1020CA52" w14:textId="0B2CB98A" w:rsidR="00B964C7" w:rsidRPr="00141C43" w:rsidRDefault="00B964C7" w:rsidP="00B964C7">
      <w:pPr>
        <w:spacing w:before="120" w:after="120" w:line="360" w:lineRule="auto"/>
        <w:ind w:firstLine="851"/>
        <w:jc w:val="both"/>
        <w:rPr>
          <w:rFonts w:ascii="Times New Roman" w:hAnsi="Times New Roman" w:cs="Times New Roman"/>
          <w:sz w:val="24"/>
          <w:szCs w:val="24"/>
        </w:rPr>
      </w:pPr>
      <w:r w:rsidRPr="00141C43">
        <w:rPr>
          <w:rFonts w:ascii="Times New Roman" w:hAnsi="Times New Roman" w:cs="Times New Roman"/>
          <w:sz w:val="24"/>
          <w:szCs w:val="24"/>
        </w:rPr>
        <w:t xml:space="preserve">O objetivo desta pesquisa foi analisar os possíveis efeitos nas demonstrações financeiras das seguradoras </w:t>
      </w:r>
      <w:r w:rsidR="001826EA">
        <w:rPr>
          <w:rFonts w:ascii="Times New Roman" w:hAnsi="Times New Roman" w:cs="Times New Roman"/>
          <w:sz w:val="24"/>
          <w:szCs w:val="24"/>
        </w:rPr>
        <w:t>brasileiras</w:t>
      </w:r>
      <w:r w:rsidRPr="00141C43">
        <w:rPr>
          <w:rFonts w:ascii="Times New Roman" w:hAnsi="Times New Roman" w:cs="Times New Roman"/>
          <w:sz w:val="24"/>
          <w:szCs w:val="24"/>
        </w:rPr>
        <w:t>, em virtude da emissão da IFRS 9</w:t>
      </w:r>
      <w:r w:rsidR="003133AC" w:rsidRPr="00141C43">
        <w:rPr>
          <w:rFonts w:ascii="Times New Roman" w:hAnsi="Times New Roman" w:cs="Times New Roman"/>
          <w:sz w:val="24"/>
          <w:szCs w:val="24"/>
        </w:rPr>
        <w:t>,</w:t>
      </w:r>
      <w:r w:rsidRPr="00141C43">
        <w:rPr>
          <w:rFonts w:ascii="Times New Roman" w:hAnsi="Times New Roman" w:cs="Times New Roman"/>
          <w:sz w:val="24"/>
          <w:szCs w:val="24"/>
        </w:rPr>
        <w:t xml:space="preserve"> que altera a classificação dos instrumentos financeiros </w:t>
      </w:r>
      <w:r w:rsidR="001826EA">
        <w:rPr>
          <w:rFonts w:ascii="Times New Roman" w:hAnsi="Times New Roman" w:cs="Times New Roman"/>
          <w:sz w:val="24"/>
          <w:szCs w:val="24"/>
        </w:rPr>
        <w:t>para</w:t>
      </w:r>
      <w:r w:rsidRPr="00141C43">
        <w:rPr>
          <w:rFonts w:ascii="Times New Roman" w:hAnsi="Times New Roman" w:cs="Times New Roman"/>
          <w:sz w:val="24"/>
          <w:szCs w:val="24"/>
        </w:rPr>
        <w:t xml:space="preserve"> mensuração. Foram selecionadas as </w:t>
      </w:r>
      <w:r w:rsidR="003133AC" w:rsidRPr="00141C43">
        <w:rPr>
          <w:rFonts w:ascii="Times New Roman" w:hAnsi="Times New Roman" w:cs="Times New Roman"/>
          <w:sz w:val="24"/>
          <w:szCs w:val="24"/>
        </w:rPr>
        <w:t>cinco</w:t>
      </w:r>
      <w:r w:rsidRPr="00141C43">
        <w:rPr>
          <w:rFonts w:ascii="Times New Roman" w:hAnsi="Times New Roman" w:cs="Times New Roman"/>
          <w:sz w:val="24"/>
          <w:szCs w:val="24"/>
        </w:rPr>
        <w:t xml:space="preserve"> maiores seguradoras com base em seus ativos operacionais e financeiros que </w:t>
      </w:r>
      <w:r w:rsidR="00281C95" w:rsidRPr="00141C43">
        <w:rPr>
          <w:rFonts w:ascii="Times New Roman" w:hAnsi="Times New Roman" w:cs="Times New Roman"/>
          <w:sz w:val="24"/>
          <w:szCs w:val="24"/>
        </w:rPr>
        <w:t xml:space="preserve">servem para compor a garantia de </w:t>
      </w:r>
      <w:r w:rsidR="001826EA">
        <w:rPr>
          <w:rFonts w:ascii="Times New Roman" w:hAnsi="Times New Roman" w:cs="Times New Roman"/>
          <w:sz w:val="24"/>
          <w:szCs w:val="24"/>
        </w:rPr>
        <w:t xml:space="preserve">cumprimento de suas obrigações. </w:t>
      </w:r>
      <w:r w:rsidR="00281C95">
        <w:rPr>
          <w:rFonts w:ascii="Times New Roman" w:hAnsi="Times New Roman" w:cs="Times New Roman"/>
          <w:sz w:val="24"/>
          <w:szCs w:val="24"/>
        </w:rPr>
        <w:t>A</w:t>
      </w:r>
      <w:r w:rsidRPr="00141C43">
        <w:rPr>
          <w:rFonts w:ascii="Times New Roman" w:hAnsi="Times New Roman" w:cs="Times New Roman"/>
          <w:sz w:val="24"/>
          <w:szCs w:val="24"/>
        </w:rPr>
        <w:t xml:space="preserve"> partir das suas demonstrações financeiras</w:t>
      </w:r>
      <w:r w:rsidR="003133AC" w:rsidRPr="00141C43">
        <w:rPr>
          <w:rFonts w:ascii="Times New Roman" w:hAnsi="Times New Roman" w:cs="Times New Roman"/>
          <w:sz w:val="24"/>
          <w:szCs w:val="24"/>
        </w:rPr>
        <w:t>,</w:t>
      </w:r>
      <w:r w:rsidRPr="00141C43">
        <w:rPr>
          <w:rFonts w:ascii="Times New Roman" w:hAnsi="Times New Roman" w:cs="Times New Roman"/>
          <w:sz w:val="24"/>
          <w:szCs w:val="24"/>
        </w:rPr>
        <w:t xml:space="preserve"> foi </w:t>
      </w:r>
      <w:r w:rsidR="003133AC" w:rsidRPr="00141C43">
        <w:rPr>
          <w:rFonts w:ascii="Times New Roman" w:hAnsi="Times New Roman" w:cs="Times New Roman"/>
          <w:sz w:val="24"/>
          <w:szCs w:val="24"/>
        </w:rPr>
        <w:t>feita</w:t>
      </w:r>
      <w:r w:rsidRPr="00141C43">
        <w:rPr>
          <w:rFonts w:ascii="Times New Roman" w:hAnsi="Times New Roman" w:cs="Times New Roman"/>
          <w:sz w:val="24"/>
          <w:szCs w:val="24"/>
        </w:rPr>
        <w:t xml:space="preserve"> a reclassificação do</w:t>
      </w:r>
      <w:r w:rsidR="00281C95">
        <w:rPr>
          <w:rFonts w:ascii="Times New Roman" w:hAnsi="Times New Roman" w:cs="Times New Roman"/>
          <w:sz w:val="24"/>
          <w:szCs w:val="24"/>
        </w:rPr>
        <w:t>s</w:t>
      </w:r>
      <w:r w:rsidRPr="00141C43">
        <w:rPr>
          <w:rFonts w:ascii="Times New Roman" w:hAnsi="Times New Roman" w:cs="Times New Roman"/>
          <w:sz w:val="24"/>
          <w:szCs w:val="24"/>
        </w:rPr>
        <w:t xml:space="preserve"> </w:t>
      </w:r>
      <w:r w:rsidR="00281C95" w:rsidRPr="00141C43">
        <w:rPr>
          <w:rFonts w:ascii="Times New Roman" w:hAnsi="Times New Roman" w:cs="Times New Roman"/>
          <w:sz w:val="24"/>
          <w:szCs w:val="24"/>
        </w:rPr>
        <w:t>títulos mantidos até o vencimento, que estavam mensurados pelo custo amortizado</w:t>
      </w:r>
      <w:r w:rsidR="003133AC" w:rsidRPr="00141C43">
        <w:rPr>
          <w:rFonts w:ascii="Times New Roman" w:hAnsi="Times New Roman" w:cs="Times New Roman"/>
          <w:sz w:val="24"/>
          <w:szCs w:val="24"/>
        </w:rPr>
        <w:t xml:space="preserve">. Em </w:t>
      </w:r>
      <w:r w:rsidR="001826EA">
        <w:rPr>
          <w:rFonts w:ascii="Times New Roman" w:hAnsi="Times New Roman" w:cs="Times New Roman"/>
          <w:sz w:val="24"/>
          <w:szCs w:val="24"/>
        </w:rPr>
        <w:t>seguida</w:t>
      </w:r>
      <w:r w:rsidR="003133AC" w:rsidRPr="00141C43">
        <w:rPr>
          <w:rFonts w:ascii="Times New Roman" w:hAnsi="Times New Roman" w:cs="Times New Roman"/>
          <w:sz w:val="24"/>
          <w:szCs w:val="24"/>
        </w:rPr>
        <w:t>,</w:t>
      </w:r>
      <w:r w:rsidRPr="00141C43">
        <w:rPr>
          <w:rFonts w:ascii="Times New Roman" w:hAnsi="Times New Roman" w:cs="Times New Roman"/>
          <w:sz w:val="24"/>
          <w:szCs w:val="24"/>
        </w:rPr>
        <w:t xml:space="preserve"> foi feita uma estimativa após a reclassificação</w:t>
      </w:r>
      <w:r w:rsidR="003133AC" w:rsidRPr="00141C43">
        <w:rPr>
          <w:rFonts w:ascii="Times New Roman" w:hAnsi="Times New Roman" w:cs="Times New Roman"/>
          <w:sz w:val="24"/>
          <w:szCs w:val="24"/>
        </w:rPr>
        <w:t>,</w:t>
      </w:r>
      <w:r w:rsidRPr="00141C43">
        <w:rPr>
          <w:rFonts w:ascii="Times New Roman" w:hAnsi="Times New Roman" w:cs="Times New Roman"/>
          <w:sz w:val="24"/>
          <w:szCs w:val="24"/>
        </w:rPr>
        <w:t xml:space="preserve"> para analisar a diferença entre as classificações </w:t>
      </w:r>
      <w:r w:rsidR="003133AC" w:rsidRPr="00141C43">
        <w:rPr>
          <w:rFonts w:ascii="Times New Roman" w:hAnsi="Times New Roman" w:cs="Times New Roman"/>
          <w:sz w:val="24"/>
          <w:szCs w:val="24"/>
        </w:rPr>
        <w:t>do</w:t>
      </w:r>
      <w:r w:rsidRPr="00141C43">
        <w:rPr>
          <w:rFonts w:ascii="Times New Roman" w:hAnsi="Times New Roman" w:cs="Times New Roman"/>
          <w:sz w:val="24"/>
          <w:szCs w:val="24"/>
        </w:rPr>
        <w:t xml:space="preserve"> IAS39 e o IFRS9. Com isso</w:t>
      </w:r>
      <w:r w:rsidR="003133AC" w:rsidRPr="00141C43">
        <w:rPr>
          <w:rFonts w:ascii="Times New Roman" w:hAnsi="Times New Roman" w:cs="Times New Roman"/>
          <w:sz w:val="24"/>
          <w:szCs w:val="24"/>
        </w:rPr>
        <w:t>, foi possível</w:t>
      </w:r>
      <w:r w:rsidRPr="00141C43">
        <w:rPr>
          <w:rFonts w:ascii="Times New Roman" w:hAnsi="Times New Roman" w:cs="Times New Roman"/>
          <w:sz w:val="24"/>
          <w:szCs w:val="24"/>
        </w:rPr>
        <w:t xml:space="preserve"> verificar o impacto nas contas de instrumentos financeiros no momento da reclassificação</w:t>
      </w:r>
      <w:r w:rsidR="00281C95">
        <w:rPr>
          <w:rFonts w:ascii="Times New Roman" w:hAnsi="Times New Roman" w:cs="Times New Roman"/>
          <w:sz w:val="24"/>
          <w:szCs w:val="24"/>
        </w:rPr>
        <w:t xml:space="preserve"> e</w:t>
      </w:r>
      <w:r w:rsidR="003133AC" w:rsidRPr="00141C43">
        <w:rPr>
          <w:rFonts w:ascii="Times New Roman" w:hAnsi="Times New Roman" w:cs="Times New Roman"/>
          <w:sz w:val="24"/>
          <w:szCs w:val="24"/>
        </w:rPr>
        <w:t xml:space="preserve"> </w:t>
      </w:r>
      <w:r w:rsidRPr="00141C43">
        <w:rPr>
          <w:rFonts w:ascii="Times New Roman" w:hAnsi="Times New Roman" w:cs="Times New Roman"/>
          <w:sz w:val="24"/>
          <w:szCs w:val="24"/>
        </w:rPr>
        <w:t>de forma subsequente</w:t>
      </w:r>
      <w:r w:rsidR="003133AC" w:rsidRPr="00141C43">
        <w:rPr>
          <w:rFonts w:ascii="Times New Roman" w:hAnsi="Times New Roman" w:cs="Times New Roman"/>
          <w:sz w:val="24"/>
          <w:szCs w:val="24"/>
        </w:rPr>
        <w:t>, por meio da</w:t>
      </w:r>
      <w:r w:rsidRPr="00141C43">
        <w:rPr>
          <w:rFonts w:ascii="Times New Roman" w:hAnsi="Times New Roman" w:cs="Times New Roman"/>
          <w:sz w:val="24"/>
          <w:szCs w:val="24"/>
        </w:rPr>
        <w:t xml:space="preserve"> estimativa elaborada pela variação da taxa de juros do ETTJ</w:t>
      </w:r>
      <w:r w:rsidR="003133AC" w:rsidRPr="00141C43">
        <w:rPr>
          <w:rFonts w:ascii="Times New Roman" w:hAnsi="Times New Roman" w:cs="Times New Roman"/>
          <w:sz w:val="24"/>
          <w:szCs w:val="24"/>
        </w:rPr>
        <w:t>,</w:t>
      </w:r>
      <w:r w:rsidRPr="00141C43">
        <w:rPr>
          <w:rFonts w:ascii="Times New Roman" w:hAnsi="Times New Roman" w:cs="Times New Roman"/>
          <w:sz w:val="24"/>
          <w:szCs w:val="24"/>
        </w:rPr>
        <w:t xml:space="preserve"> extraíd</w:t>
      </w:r>
      <w:r w:rsidR="003133AC" w:rsidRPr="00141C43">
        <w:rPr>
          <w:rFonts w:ascii="Times New Roman" w:hAnsi="Times New Roman" w:cs="Times New Roman"/>
          <w:sz w:val="24"/>
          <w:szCs w:val="24"/>
        </w:rPr>
        <w:t>a da Susep. Dessa forma, foram demonstradas</w:t>
      </w:r>
      <w:r w:rsidRPr="00141C43">
        <w:rPr>
          <w:rFonts w:ascii="Times New Roman" w:hAnsi="Times New Roman" w:cs="Times New Roman"/>
          <w:sz w:val="24"/>
          <w:szCs w:val="24"/>
        </w:rPr>
        <w:t xml:space="preserve"> suas diferenças</w:t>
      </w:r>
      <w:r w:rsidR="003133AC" w:rsidRPr="00141C43">
        <w:rPr>
          <w:rFonts w:ascii="Times New Roman" w:hAnsi="Times New Roman" w:cs="Times New Roman"/>
          <w:sz w:val="24"/>
          <w:szCs w:val="24"/>
        </w:rPr>
        <w:t>, decorrentes da</w:t>
      </w:r>
      <w:r w:rsidRPr="00141C43">
        <w:rPr>
          <w:rFonts w:ascii="Times New Roman" w:hAnsi="Times New Roman" w:cs="Times New Roman"/>
          <w:sz w:val="24"/>
          <w:szCs w:val="24"/>
        </w:rPr>
        <w:t xml:space="preserve"> marcação a mercado e variação de taxa de juros</w:t>
      </w:r>
      <w:bookmarkStart w:id="0" w:name="_GoBack"/>
      <w:bookmarkEnd w:id="0"/>
      <w:r w:rsidR="003133AC" w:rsidRPr="00141C43">
        <w:rPr>
          <w:rFonts w:ascii="Times New Roman" w:hAnsi="Times New Roman" w:cs="Times New Roman"/>
          <w:sz w:val="24"/>
          <w:szCs w:val="24"/>
        </w:rPr>
        <w:t xml:space="preserve">. A </w:t>
      </w:r>
      <w:r w:rsidRPr="00141C43">
        <w:rPr>
          <w:rFonts w:ascii="Times New Roman" w:hAnsi="Times New Roman" w:cs="Times New Roman"/>
          <w:sz w:val="24"/>
          <w:szCs w:val="24"/>
        </w:rPr>
        <w:t xml:space="preserve">consequência de mercado </w:t>
      </w:r>
      <w:r w:rsidR="003133AC" w:rsidRPr="00141C43">
        <w:rPr>
          <w:rFonts w:ascii="Times New Roman" w:hAnsi="Times New Roman" w:cs="Times New Roman"/>
          <w:sz w:val="24"/>
          <w:szCs w:val="24"/>
        </w:rPr>
        <w:t>é que</w:t>
      </w:r>
      <w:r w:rsidRPr="00141C43">
        <w:rPr>
          <w:rFonts w:ascii="Times New Roman" w:hAnsi="Times New Roman" w:cs="Times New Roman"/>
          <w:sz w:val="24"/>
          <w:szCs w:val="24"/>
        </w:rPr>
        <w:t xml:space="preserve"> a mensuração pelo valor justo</w:t>
      </w:r>
      <w:r w:rsidR="002970AB">
        <w:rPr>
          <w:rFonts w:ascii="Times New Roman" w:hAnsi="Times New Roman" w:cs="Times New Roman"/>
          <w:sz w:val="24"/>
          <w:szCs w:val="24"/>
        </w:rPr>
        <w:t xml:space="preserve"> </w:t>
      </w:r>
      <w:r w:rsidRPr="00141C43">
        <w:rPr>
          <w:rFonts w:ascii="Times New Roman" w:hAnsi="Times New Roman" w:cs="Times New Roman"/>
          <w:sz w:val="24"/>
          <w:szCs w:val="24"/>
        </w:rPr>
        <w:t>demonstra maior transparência e a importância das informações con</w:t>
      </w:r>
      <w:r w:rsidR="00915023" w:rsidRPr="00141C43">
        <w:rPr>
          <w:rFonts w:ascii="Times New Roman" w:hAnsi="Times New Roman" w:cs="Times New Roman"/>
          <w:sz w:val="24"/>
          <w:szCs w:val="24"/>
        </w:rPr>
        <w:t xml:space="preserve">tábeis para usuários externos. </w:t>
      </w:r>
    </w:p>
    <w:p w14:paraId="4F9EACA5" w14:textId="77777777" w:rsidR="00340BD0" w:rsidRDefault="00B964C7" w:rsidP="00B964C7">
      <w:pPr>
        <w:spacing w:after="120" w:line="360" w:lineRule="auto"/>
        <w:jc w:val="both"/>
        <w:rPr>
          <w:rFonts w:ascii="Times New Roman" w:hAnsi="Times New Roman" w:cs="Times New Roman"/>
          <w:sz w:val="24"/>
          <w:szCs w:val="24"/>
        </w:rPr>
      </w:pPr>
      <w:r w:rsidRPr="00340BD0">
        <w:rPr>
          <w:rFonts w:ascii="Times New Roman" w:hAnsi="Times New Roman" w:cs="Times New Roman"/>
          <w:b/>
          <w:sz w:val="24"/>
          <w:szCs w:val="24"/>
        </w:rPr>
        <w:lastRenderedPageBreak/>
        <w:t>Palavras chaves:</w:t>
      </w:r>
      <w:r w:rsidRPr="00141C43">
        <w:rPr>
          <w:rFonts w:ascii="Times New Roman" w:hAnsi="Times New Roman" w:cs="Times New Roman"/>
          <w:sz w:val="24"/>
          <w:szCs w:val="24"/>
        </w:rPr>
        <w:t xml:space="preserve"> IFRS, Instrumentos Financeiros, Classificação, Mensuração, Valor justo, Custo amortizado.</w:t>
      </w:r>
    </w:p>
    <w:p w14:paraId="1EDE9558" w14:textId="77777777" w:rsidR="00340BD0" w:rsidRPr="006145A0" w:rsidRDefault="00340BD0" w:rsidP="00340BD0">
      <w:pPr>
        <w:spacing w:before="120" w:after="120" w:line="360" w:lineRule="auto"/>
        <w:jc w:val="center"/>
        <w:rPr>
          <w:rFonts w:ascii="Times New Roman" w:hAnsi="Times New Roman" w:cs="Times New Roman"/>
          <w:b/>
          <w:sz w:val="24"/>
          <w:szCs w:val="24"/>
          <w:lang w:val="en-US"/>
        </w:rPr>
      </w:pPr>
      <w:r w:rsidRPr="006145A0">
        <w:rPr>
          <w:rFonts w:ascii="Times New Roman" w:hAnsi="Times New Roman" w:cs="Times New Roman"/>
          <w:b/>
          <w:sz w:val="24"/>
          <w:szCs w:val="24"/>
          <w:lang w:val="en-US"/>
        </w:rPr>
        <w:t>Abstract</w:t>
      </w:r>
    </w:p>
    <w:p w14:paraId="54FE68DB" w14:textId="1BCFDCD7" w:rsidR="00B964C7" w:rsidRDefault="00340BD0" w:rsidP="00340BD0">
      <w:pPr>
        <w:spacing w:after="120" w:line="360" w:lineRule="auto"/>
        <w:jc w:val="both"/>
        <w:rPr>
          <w:rFonts w:ascii="Times New Roman" w:hAnsi="Times New Roman" w:cs="Times New Roman"/>
          <w:sz w:val="24"/>
          <w:szCs w:val="24"/>
        </w:rPr>
      </w:pPr>
      <w:r w:rsidRPr="006145A0">
        <w:rPr>
          <w:rFonts w:ascii="Times New Roman" w:hAnsi="Times New Roman" w:cs="Times New Roman"/>
          <w:sz w:val="24"/>
          <w:szCs w:val="24"/>
          <w:lang w:val="en-US"/>
        </w:rPr>
        <w:t xml:space="preserve">The aim of this research was to identify and </w:t>
      </w:r>
      <w:proofErr w:type="spellStart"/>
      <w:r w:rsidRPr="006145A0">
        <w:rPr>
          <w:rFonts w:ascii="Times New Roman" w:hAnsi="Times New Roman" w:cs="Times New Roman"/>
          <w:sz w:val="24"/>
          <w:szCs w:val="24"/>
          <w:lang w:val="en-US"/>
        </w:rPr>
        <w:t>analyse</w:t>
      </w:r>
      <w:proofErr w:type="spellEnd"/>
      <w:r w:rsidRPr="006145A0">
        <w:rPr>
          <w:rFonts w:ascii="Times New Roman" w:hAnsi="Times New Roman" w:cs="Times New Roman"/>
          <w:sz w:val="24"/>
          <w:szCs w:val="24"/>
          <w:lang w:val="en-US"/>
        </w:rPr>
        <w:t xml:space="preserve"> the possible effects in security companies’ financial statements that operate in Brazil, because of the issuing if IFRS9, that alters the classification of financial instruments and their measurement criteria. It was selected the five biggest security companies concerning their operating and financial assets that aim to be a guarantee for the fulfilling of their obligations, including the classification held to maturity, measured by amortized cost. Based in their financial statements, it was made the reclassification of the held to maturity securities, previously measured by amortized cost, without the fair value marking. In second place, it was made an estimation after the reclassification, to analyze the differences between IAS39 and IFRS9 classifications. After that, it was possible to verify the impact in financial instruments accounts upon reclassification and subsequently, through an estimation carried out by the change in ETTJ interest rate, extracted from </w:t>
      </w:r>
      <w:proofErr w:type="spellStart"/>
      <w:r w:rsidRPr="006145A0">
        <w:rPr>
          <w:rFonts w:ascii="Times New Roman" w:hAnsi="Times New Roman" w:cs="Times New Roman"/>
          <w:sz w:val="24"/>
          <w:szCs w:val="24"/>
          <w:lang w:val="en-US"/>
        </w:rPr>
        <w:t>Susep</w:t>
      </w:r>
      <w:proofErr w:type="spellEnd"/>
      <w:r w:rsidRPr="006145A0">
        <w:rPr>
          <w:rFonts w:ascii="Times New Roman" w:hAnsi="Times New Roman" w:cs="Times New Roman"/>
          <w:sz w:val="24"/>
          <w:szCs w:val="24"/>
          <w:lang w:val="en-US"/>
        </w:rPr>
        <w:t>. In this sense, their differences were demonstrated, due to the market to market and the interest rate variation. The market output was that the fair value measurement could give more transparency, when compared to what is happening in the market nowadays.</w:t>
      </w:r>
      <w:r w:rsidR="00B964C7" w:rsidRPr="00141C43">
        <w:rPr>
          <w:rFonts w:ascii="Times New Roman" w:hAnsi="Times New Roman" w:cs="Times New Roman"/>
          <w:sz w:val="24"/>
          <w:szCs w:val="24"/>
        </w:rPr>
        <w:t xml:space="preserve"> </w:t>
      </w:r>
    </w:p>
    <w:p w14:paraId="2D7FE21F" w14:textId="77777777" w:rsidR="00340BD0" w:rsidRDefault="00340BD0" w:rsidP="00340BD0">
      <w:pPr>
        <w:spacing w:after="120" w:line="360" w:lineRule="auto"/>
        <w:jc w:val="both"/>
        <w:rPr>
          <w:rFonts w:ascii="Times New Roman" w:hAnsi="Times New Roman" w:cs="Times New Roman"/>
          <w:sz w:val="24"/>
          <w:szCs w:val="24"/>
          <w:lang w:val="en-US"/>
        </w:rPr>
      </w:pPr>
      <w:r w:rsidRPr="00B44CA6">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IFRS;</w:t>
      </w:r>
      <w:r w:rsidRPr="006145A0">
        <w:rPr>
          <w:rFonts w:ascii="Times New Roman" w:hAnsi="Times New Roman" w:cs="Times New Roman"/>
          <w:sz w:val="24"/>
          <w:szCs w:val="24"/>
          <w:lang w:val="en-US"/>
        </w:rPr>
        <w:t xml:space="preserve"> Financial </w:t>
      </w:r>
      <w:r>
        <w:rPr>
          <w:rFonts w:ascii="Times New Roman" w:hAnsi="Times New Roman" w:cs="Times New Roman"/>
          <w:sz w:val="24"/>
          <w:szCs w:val="24"/>
          <w:lang w:val="en-US"/>
        </w:rPr>
        <w:t>instruments;</w:t>
      </w:r>
      <w:r w:rsidRPr="006145A0">
        <w:rPr>
          <w:rFonts w:ascii="Times New Roman" w:hAnsi="Times New Roman" w:cs="Times New Roman"/>
          <w:sz w:val="24"/>
          <w:szCs w:val="24"/>
          <w:lang w:val="en-US"/>
        </w:rPr>
        <w:t xml:space="preserve"> Classification</w:t>
      </w:r>
      <w:r>
        <w:rPr>
          <w:rFonts w:ascii="Times New Roman" w:hAnsi="Times New Roman" w:cs="Times New Roman"/>
          <w:sz w:val="24"/>
          <w:szCs w:val="24"/>
          <w:lang w:val="en-US"/>
        </w:rPr>
        <w:t>;</w:t>
      </w:r>
      <w:r w:rsidRPr="006145A0">
        <w:rPr>
          <w:rFonts w:ascii="Times New Roman" w:hAnsi="Times New Roman" w:cs="Times New Roman"/>
          <w:sz w:val="24"/>
          <w:szCs w:val="24"/>
          <w:lang w:val="en-US"/>
        </w:rPr>
        <w:t xml:space="preserve"> Measurement</w:t>
      </w:r>
      <w:r>
        <w:rPr>
          <w:rFonts w:ascii="Times New Roman" w:hAnsi="Times New Roman" w:cs="Times New Roman"/>
          <w:sz w:val="24"/>
          <w:szCs w:val="24"/>
          <w:lang w:val="en-US"/>
        </w:rPr>
        <w:t>;</w:t>
      </w:r>
      <w:r w:rsidRPr="006145A0">
        <w:rPr>
          <w:rFonts w:ascii="Times New Roman" w:hAnsi="Times New Roman" w:cs="Times New Roman"/>
          <w:sz w:val="24"/>
          <w:szCs w:val="24"/>
          <w:lang w:val="en-US"/>
        </w:rPr>
        <w:t xml:space="preserve"> Fair Value</w:t>
      </w:r>
      <w:r>
        <w:rPr>
          <w:rFonts w:ascii="Times New Roman" w:hAnsi="Times New Roman" w:cs="Times New Roman"/>
          <w:sz w:val="24"/>
          <w:szCs w:val="24"/>
          <w:lang w:val="en-US"/>
        </w:rPr>
        <w:t>;</w:t>
      </w:r>
      <w:r w:rsidRPr="006145A0">
        <w:rPr>
          <w:rFonts w:ascii="Times New Roman" w:hAnsi="Times New Roman" w:cs="Times New Roman"/>
          <w:sz w:val="24"/>
          <w:szCs w:val="24"/>
          <w:lang w:val="en-US"/>
        </w:rPr>
        <w:t xml:space="preserve"> Amortized cost.</w:t>
      </w:r>
      <w:r w:rsidRPr="00141C43">
        <w:rPr>
          <w:rFonts w:ascii="Times New Roman" w:hAnsi="Times New Roman" w:cs="Times New Roman"/>
          <w:sz w:val="24"/>
          <w:szCs w:val="24"/>
          <w:lang w:val="en-US"/>
        </w:rPr>
        <w:t xml:space="preserve"> </w:t>
      </w:r>
    </w:p>
    <w:p w14:paraId="489F24D3" w14:textId="088FDD67" w:rsidR="00FF4C85" w:rsidRPr="00141C43" w:rsidRDefault="00601EEB" w:rsidP="00D55EBA">
      <w:pPr>
        <w:pStyle w:val="Ttulo1"/>
        <w:spacing w:before="240" w:after="240" w:line="240" w:lineRule="auto"/>
        <w:jc w:val="both"/>
        <w:rPr>
          <w:rFonts w:ascii="Times New Roman" w:hAnsi="Times New Roman" w:cs="Times New Roman"/>
          <w:color w:val="000000" w:themeColor="text1"/>
          <w:sz w:val="24"/>
          <w:szCs w:val="24"/>
        </w:rPr>
      </w:pPr>
      <w:bookmarkStart w:id="1" w:name="_Toc469928714"/>
      <w:r w:rsidRPr="00141C43">
        <w:rPr>
          <w:rFonts w:ascii="Times New Roman" w:hAnsi="Times New Roman" w:cs="Times New Roman"/>
          <w:color w:val="000000" w:themeColor="text1"/>
          <w:sz w:val="24"/>
          <w:szCs w:val="24"/>
        </w:rPr>
        <w:t xml:space="preserve">1 – </w:t>
      </w:r>
      <w:r w:rsidR="00D73E49" w:rsidRPr="00141C43">
        <w:rPr>
          <w:rFonts w:ascii="Times New Roman" w:hAnsi="Times New Roman" w:cs="Times New Roman"/>
          <w:color w:val="000000" w:themeColor="text1"/>
          <w:sz w:val="24"/>
          <w:szCs w:val="24"/>
        </w:rPr>
        <w:t>I</w:t>
      </w:r>
      <w:r w:rsidR="003941C4" w:rsidRPr="00141C43">
        <w:rPr>
          <w:rFonts w:ascii="Times New Roman" w:hAnsi="Times New Roman" w:cs="Times New Roman"/>
          <w:color w:val="000000" w:themeColor="text1"/>
          <w:sz w:val="24"/>
          <w:szCs w:val="24"/>
        </w:rPr>
        <w:t>ntrodução</w:t>
      </w:r>
      <w:bookmarkEnd w:id="1"/>
      <w:r w:rsidR="00A812CB">
        <w:rPr>
          <w:rFonts w:ascii="Times New Roman" w:hAnsi="Times New Roman" w:cs="Times New Roman"/>
          <w:color w:val="000000" w:themeColor="text1"/>
          <w:sz w:val="24"/>
          <w:szCs w:val="24"/>
        </w:rPr>
        <w:t xml:space="preserve"> </w:t>
      </w:r>
    </w:p>
    <w:p w14:paraId="7070E888" w14:textId="77777777" w:rsidR="003C107E" w:rsidRPr="00141C43" w:rsidRDefault="00CE5A3F" w:rsidP="003C107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Com </w:t>
      </w:r>
      <w:r w:rsidR="003C107E" w:rsidRPr="00141C43">
        <w:rPr>
          <w:rFonts w:ascii="Times New Roman" w:hAnsi="Times New Roman" w:cs="Times New Roman"/>
          <w:sz w:val="24"/>
          <w:szCs w:val="24"/>
        </w:rPr>
        <w:t>a</w:t>
      </w:r>
      <w:r w:rsidRPr="00141C43">
        <w:rPr>
          <w:rFonts w:ascii="Times New Roman" w:hAnsi="Times New Roman" w:cs="Times New Roman"/>
          <w:sz w:val="24"/>
          <w:szCs w:val="24"/>
        </w:rPr>
        <w:t xml:space="preserve"> mudança das normas de contabilidade</w:t>
      </w:r>
      <w:r w:rsidR="00CE67A8" w:rsidRPr="00141C43">
        <w:rPr>
          <w:rFonts w:ascii="Times New Roman" w:hAnsi="Times New Roman" w:cs="Times New Roman"/>
          <w:sz w:val="24"/>
          <w:szCs w:val="24"/>
        </w:rPr>
        <w:t>,</w:t>
      </w:r>
      <w:r w:rsidRPr="00141C43">
        <w:rPr>
          <w:rFonts w:ascii="Times New Roman" w:hAnsi="Times New Roman" w:cs="Times New Roman"/>
          <w:sz w:val="24"/>
          <w:szCs w:val="24"/>
        </w:rPr>
        <w:t xml:space="preserve"> o mundo dos negócios </w:t>
      </w:r>
      <w:r w:rsidR="003C107E" w:rsidRPr="00141C43">
        <w:rPr>
          <w:rFonts w:ascii="Times New Roman" w:hAnsi="Times New Roman" w:cs="Times New Roman"/>
          <w:sz w:val="24"/>
          <w:szCs w:val="24"/>
        </w:rPr>
        <w:t>vem mostrando o quanto é importante obter as informações contábeis</w:t>
      </w:r>
      <w:r w:rsidR="00B63976" w:rsidRPr="00141C43">
        <w:rPr>
          <w:rFonts w:ascii="Times New Roman" w:hAnsi="Times New Roman" w:cs="Times New Roman"/>
          <w:sz w:val="24"/>
          <w:szCs w:val="24"/>
        </w:rPr>
        <w:t xml:space="preserve"> de forma clara</w:t>
      </w:r>
      <w:r w:rsidR="003C107E" w:rsidRPr="00141C43">
        <w:rPr>
          <w:rFonts w:ascii="Times New Roman" w:hAnsi="Times New Roman" w:cs="Times New Roman"/>
          <w:sz w:val="24"/>
          <w:szCs w:val="24"/>
        </w:rPr>
        <w:t>,</w:t>
      </w:r>
      <w:r w:rsidR="00B63976" w:rsidRPr="00141C43">
        <w:rPr>
          <w:rFonts w:ascii="Times New Roman" w:hAnsi="Times New Roman" w:cs="Times New Roman"/>
          <w:sz w:val="24"/>
          <w:szCs w:val="24"/>
        </w:rPr>
        <w:t xml:space="preserve"> para</w:t>
      </w:r>
      <w:r w:rsidR="003C107E" w:rsidRPr="00141C43">
        <w:rPr>
          <w:rFonts w:ascii="Times New Roman" w:hAnsi="Times New Roman" w:cs="Times New Roman"/>
          <w:sz w:val="24"/>
          <w:szCs w:val="24"/>
        </w:rPr>
        <w:t xml:space="preserve"> </w:t>
      </w:r>
      <w:r w:rsidR="0095080D" w:rsidRPr="00141C43">
        <w:rPr>
          <w:rFonts w:ascii="Times New Roman" w:hAnsi="Times New Roman" w:cs="Times New Roman"/>
          <w:sz w:val="24"/>
          <w:szCs w:val="24"/>
        </w:rPr>
        <w:t xml:space="preserve">trazer uma transparência sobre a situação econômica e financeira das </w:t>
      </w:r>
      <w:r w:rsidR="003C107E" w:rsidRPr="00141C43">
        <w:rPr>
          <w:rFonts w:ascii="Times New Roman" w:hAnsi="Times New Roman" w:cs="Times New Roman"/>
          <w:sz w:val="24"/>
          <w:szCs w:val="24"/>
        </w:rPr>
        <w:t xml:space="preserve">companhias que </w:t>
      </w:r>
      <w:r w:rsidR="00CE67A8" w:rsidRPr="00141C43">
        <w:rPr>
          <w:rFonts w:ascii="Times New Roman" w:hAnsi="Times New Roman" w:cs="Times New Roman"/>
          <w:sz w:val="24"/>
          <w:szCs w:val="24"/>
        </w:rPr>
        <w:t>têm</w:t>
      </w:r>
      <w:r w:rsidR="003C107E" w:rsidRPr="00141C43">
        <w:rPr>
          <w:rFonts w:ascii="Times New Roman" w:hAnsi="Times New Roman" w:cs="Times New Roman"/>
          <w:sz w:val="24"/>
          <w:szCs w:val="24"/>
        </w:rPr>
        <w:t xml:space="preserve"> ações em bolsa de valores</w:t>
      </w:r>
      <w:r w:rsidR="00B63976" w:rsidRPr="00141C43">
        <w:rPr>
          <w:rFonts w:ascii="Times New Roman" w:hAnsi="Times New Roman" w:cs="Times New Roman"/>
          <w:sz w:val="24"/>
          <w:szCs w:val="24"/>
        </w:rPr>
        <w:t>. A</w:t>
      </w:r>
      <w:r w:rsidR="003C107E" w:rsidRPr="00141C43">
        <w:rPr>
          <w:rFonts w:ascii="Times New Roman" w:hAnsi="Times New Roman" w:cs="Times New Roman"/>
          <w:sz w:val="24"/>
          <w:szCs w:val="24"/>
        </w:rPr>
        <w:t xml:space="preserve">s instituições financeiras são uma das principais companhias que </w:t>
      </w:r>
      <w:r w:rsidR="00757A1B" w:rsidRPr="00141C43">
        <w:rPr>
          <w:rFonts w:ascii="Times New Roman" w:hAnsi="Times New Roman" w:cs="Times New Roman"/>
          <w:sz w:val="24"/>
          <w:szCs w:val="24"/>
        </w:rPr>
        <w:t>fazem parte do</w:t>
      </w:r>
      <w:r w:rsidR="003C107E" w:rsidRPr="00141C43">
        <w:rPr>
          <w:rFonts w:ascii="Times New Roman" w:hAnsi="Times New Roman" w:cs="Times New Roman"/>
          <w:sz w:val="24"/>
          <w:szCs w:val="24"/>
        </w:rPr>
        <w:t xml:space="preserve"> mercado acionário</w:t>
      </w:r>
      <w:r w:rsidR="00E8533B" w:rsidRPr="00141C43">
        <w:rPr>
          <w:rFonts w:ascii="Times New Roman" w:hAnsi="Times New Roman" w:cs="Times New Roman"/>
          <w:sz w:val="24"/>
          <w:szCs w:val="24"/>
        </w:rPr>
        <w:t>, e precisa</w:t>
      </w:r>
      <w:r w:rsidR="00CE67A8" w:rsidRPr="00141C43">
        <w:rPr>
          <w:rFonts w:ascii="Times New Roman" w:hAnsi="Times New Roman" w:cs="Times New Roman"/>
          <w:sz w:val="24"/>
          <w:szCs w:val="24"/>
        </w:rPr>
        <w:t>m</w:t>
      </w:r>
      <w:r w:rsidR="00BD0779" w:rsidRPr="00141C43">
        <w:rPr>
          <w:rFonts w:ascii="Times New Roman" w:hAnsi="Times New Roman" w:cs="Times New Roman"/>
          <w:sz w:val="24"/>
          <w:szCs w:val="24"/>
        </w:rPr>
        <w:t xml:space="preserve"> estar</w:t>
      </w:r>
      <w:r w:rsidR="00CE67A8" w:rsidRPr="00141C43">
        <w:rPr>
          <w:rFonts w:ascii="Times New Roman" w:hAnsi="Times New Roman" w:cs="Times New Roman"/>
          <w:sz w:val="24"/>
          <w:szCs w:val="24"/>
        </w:rPr>
        <w:t xml:space="preserve"> claramente</w:t>
      </w:r>
      <w:r w:rsidR="00BD0779" w:rsidRPr="00141C43">
        <w:rPr>
          <w:rFonts w:ascii="Times New Roman" w:hAnsi="Times New Roman" w:cs="Times New Roman"/>
          <w:sz w:val="24"/>
          <w:szCs w:val="24"/>
        </w:rPr>
        <w:t xml:space="preserve"> </w:t>
      </w:r>
      <w:r w:rsidR="00E8533B" w:rsidRPr="00141C43">
        <w:rPr>
          <w:rFonts w:ascii="Times New Roman" w:hAnsi="Times New Roman" w:cs="Times New Roman"/>
          <w:sz w:val="24"/>
          <w:szCs w:val="24"/>
        </w:rPr>
        <w:t>exposta</w:t>
      </w:r>
      <w:r w:rsidR="00CE67A8" w:rsidRPr="00141C43">
        <w:rPr>
          <w:rFonts w:ascii="Times New Roman" w:hAnsi="Times New Roman" w:cs="Times New Roman"/>
          <w:sz w:val="24"/>
          <w:szCs w:val="24"/>
        </w:rPr>
        <w:t>s, já que possuem</w:t>
      </w:r>
      <w:r w:rsidR="00BD0779" w:rsidRPr="00141C43">
        <w:rPr>
          <w:rFonts w:ascii="Times New Roman" w:hAnsi="Times New Roman" w:cs="Times New Roman"/>
          <w:sz w:val="24"/>
          <w:szCs w:val="24"/>
        </w:rPr>
        <w:t xml:space="preserve"> instrumentos financeiros</w:t>
      </w:r>
      <w:r w:rsidR="00CE67A8" w:rsidRPr="00141C43">
        <w:rPr>
          <w:rFonts w:ascii="Times New Roman" w:hAnsi="Times New Roman" w:cs="Times New Roman"/>
          <w:sz w:val="24"/>
          <w:szCs w:val="24"/>
        </w:rPr>
        <w:t>, os quais</w:t>
      </w:r>
      <w:r w:rsidR="00E8533B" w:rsidRPr="00141C43">
        <w:rPr>
          <w:rFonts w:ascii="Times New Roman" w:hAnsi="Times New Roman" w:cs="Times New Roman"/>
          <w:sz w:val="24"/>
          <w:szCs w:val="24"/>
        </w:rPr>
        <w:t xml:space="preserve"> são a garantia de cumprimento com seu passivo.</w:t>
      </w:r>
    </w:p>
    <w:p w14:paraId="3695A304" w14:textId="286ADD0A" w:rsidR="003C107E" w:rsidRPr="00141C43" w:rsidRDefault="003C107E" w:rsidP="003C107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Os instrumentos financeiros são meios que </w:t>
      </w:r>
      <w:r w:rsidR="00B835E7" w:rsidRPr="00141C43">
        <w:rPr>
          <w:rFonts w:ascii="Times New Roman" w:hAnsi="Times New Roman" w:cs="Times New Roman"/>
          <w:sz w:val="24"/>
          <w:szCs w:val="24"/>
        </w:rPr>
        <w:t xml:space="preserve">os </w:t>
      </w:r>
      <w:r w:rsidRPr="00141C43">
        <w:rPr>
          <w:rFonts w:ascii="Times New Roman" w:hAnsi="Times New Roman" w:cs="Times New Roman"/>
          <w:sz w:val="24"/>
          <w:szCs w:val="24"/>
        </w:rPr>
        <w:t xml:space="preserve">investidores utilizam para </w:t>
      </w:r>
      <w:r w:rsidR="00E226C6" w:rsidRPr="00141C43">
        <w:rPr>
          <w:rFonts w:ascii="Times New Roman" w:hAnsi="Times New Roman" w:cs="Times New Roman"/>
          <w:sz w:val="24"/>
          <w:szCs w:val="24"/>
        </w:rPr>
        <w:t>faze</w:t>
      </w:r>
      <w:r w:rsidRPr="00141C43">
        <w:rPr>
          <w:rFonts w:ascii="Times New Roman" w:hAnsi="Times New Roman" w:cs="Times New Roman"/>
          <w:sz w:val="24"/>
          <w:szCs w:val="24"/>
        </w:rPr>
        <w:t xml:space="preserve">r seus recursos financeiros evoluir e aumentar suas riquezas, </w:t>
      </w:r>
      <w:r w:rsidR="005C5BAB" w:rsidRPr="00141C43">
        <w:rPr>
          <w:rFonts w:ascii="Times New Roman" w:hAnsi="Times New Roman" w:cs="Times New Roman"/>
          <w:sz w:val="24"/>
          <w:szCs w:val="24"/>
        </w:rPr>
        <w:t>para haver um equilíbrio entre</w:t>
      </w:r>
      <w:r w:rsidRPr="00141C43">
        <w:rPr>
          <w:rFonts w:ascii="Times New Roman" w:hAnsi="Times New Roman" w:cs="Times New Roman"/>
          <w:sz w:val="24"/>
          <w:szCs w:val="24"/>
        </w:rPr>
        <w:t xml:space="preserve"> riscos e </w:t>
      </w:r>
      <w:r w:rsidR="005C5BAB" w:rsidRPr="00141C43">
        <w:rPr>
          <w:rFonts w:ascii="Times New Roman" w:hAnsi="Times New Roman" w:cs="Times New Roman"/>
          <w:sz w:val="24"/>
          <w:szCs w:val="24"/>
        </w:rPr>
        <w:t xml:space="preserve">manter a </w:t>
      </w:r>
      <w:r w:rsidRPr="00141C43">
        <w:rPr>
          <w:rFonts w:ascii="Times New Roman" w:hAnsi="Times New Roman" w:cs="Times New Roman"/>
          <w:sz w:val="24"/>
          <w:szCs w:val="24"/>
        </w:rPr>
        <w:t xml:space="preserve">segurança </w:t>
      </w:r>
      <w:r w:rsidR="005C5BAB" w:rsidRPr="00141C43">
        <w:rPr>
          <w:rFonts w:ascii="Times New Roman" w:hAnsi="Times New Roman" w:cs="Times New Roman"/>
          <w:sz w:val="24"/>
          <w:szCs w:val="24"/>
        </w:rPr>
        <w:t>de seus recursos financeiros</w:t>
      </w:r>
      <w:r w:rsidRPr="00141C43">
        <w:rPr>
          <w:rFonts w:ascii="Times New Roman" w:hAnsi="Times New Roman" w:cs="Times New Roman"/>
          <w:sz w:val="24"/>
          <w:szCs w:val="24"/>
        </w:rPr>
        <w:t xml:space="preserve">. </w:t>
      </w:r>
    </w:p>
    <w:p w14:paraId="3B3A43B2" w14:textId="437A22EC" w:rsidR="003C107E" w:rsidRPr="00141C43" w:rsidRDefault="009B27C1" w:rsidP="003C107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O</w:t>
      </w:r>
      <w:r w:rsidR="003C107E" w:rsidRPr="00141C43">
        <w:rPr>
          <w:rFonts w:ascii="Times New Roman" w:hAnsi="Times New Roman" w:cs="Times New Roman"/>
          <w:sz w:val="24"/>
          <w:szCs w:val="24"/>
        </w:rPr>
        <w:t xml:space="preserve"> IASB </w:t>
      </w:r>
      <w:r w:rsidRPr="00141C43">
        <w:rPr>
          <w:rFonts w:ascii="Times New Roman" w:hAnsi="Times New Roman" w:cs="Times New Roman"/>
          <w:sz w:val="24"/>
          <w:szCs w:val="24"/>
        </w:rPr>
        <w:t>vem divulgando</w:t>
      </w:r>
      <w:r w:rsidR="003C107E" w:rsidRPr="00141C43">
        <w:rPr>
          <w:rFonts w:ascii="Times New Roman" w:hAnsi="Times New Roman" w:cs="Times New Roman"/>
          <w:sz w:val="24"/>
          <w:szCs w:val="24"/>
        </w:rPr>
        <w:t xml:space="preserve"> al</w:t>
      </w:r>
      <w:r w:rsidRPr="00141C43">
        <w:rPr>
          <w:rFonts w:ascii="Times New Roman" w:hAnsi="Times New Roman" w:cs="Times New Roman"/>
          <w:sz w:val="24"/>
          <w:szCs w:val="24"/>
        </w:rPr>
        <w:t xml:space="preserve">terações e novas normas </w:t>
      </w:r>
      <w:r w:rsidR="00C60C0D" w:rsidRPr="00141C43">
        <w:rPr>
          <w:rFonts w:ascii="Times New Roman" w:hAnsi="Times New Roman" w:cs="Times New Roman"/>
          <w:sz w:val="24"/>
          <w:szCs w:val="24"/>
        </w:rPr>
        <w:t>com vistas a</w:t>
      </w:r>
      <w:r w:rsidRPr="00141C43">
        <w:rPr>
          <w:rFonts w:ascii="Times New Roman" w:hAnsi="Times New Roman" w:cs="Times New Roman"/>
          <w:sz w:val="24"/>
          <w:szCs w:val="24"/>
        </w:rPr>
        <w:t xml:space="preserve"> </w:t>
      </w:r>
      <w:r w:rsidR="003C107E" w:rsidRPr="00141C43">
        <w:rPr>
          <w:rFonts w:ascii="Times New Roman" w:hAnsi="Times New Roman" w:cs="Times New Roman"/>
          <w:sz w:val="24"/>
          <w:szCs w:val="24"/>
        </w:rPr>
        <w:t>harmonizar</w:t>
      </w:r>
      <w:r w:rsidR="003E6FB0" w:rsidRPr="00141C43">
        <w:rPr>
          <w:rFonts w:ascii="Times New Roman" w:hAnsi="Times New Roman" w:cs="Times New Roman"/>
          <w:sz w:val="24"/>
          <w:szCs w:val="24"/>
        </w:rPr>
        <w:t xml:space="preserve"> o padrão da contabilidade internacional</w:t>
      </w:r>
      <w:r w:rsidR="00B835E7" w:rsidRPr="00141C43">
        <w:rPr>
          <w:rFonts w:ascii="Times New Roman" w:hAnsi="Times New Roman" w:cs="Times New Roman"/>
          <w:sz w:val="24"/>
          <w:szCs w:val="24"/>
        </w:rPr>
        <w:t>,</w:t>
      </w:r>
      <w:r w:rsidR="003C107E" w:rsidRPr="00141C43">
        <w:rPr>
          <w:rFonts w:ascii="Times New Roman" w:hAnsi="Times New Roman" w:cs="Times New Roman"/>
          <w:sz w:val="24"/>
          <w:szCs w:val="24"/>
        </w:rPr>
        <w:t xml:space="preserve"> </w:t>
      </w:r>
      <w:r w:rsidR="00E412C9">
        <w:rPr>
          <w:rFonts w:ascii="Times New Roman" w:hAnsi="Times New Roman" w:cs="Times New Roman"/>
          <w:sz w:val="24"/>
          <w:szCs w:val="24"/>
        </w:rPr>
        <w:t>junto ao</w:t>
      </w:r>
      <w:r w:rsidR="003C107E" w:rsidRPr="00141C43">
        <w:rPr>
          <w:rFonts w:ascii="Times New Roman" w:hAnsi="Times New Roman" w:cs="Times New Roman"/>
          <w:sz w:val="24"/>
          <w:szCs w:val="24"/>
        </w:rPr>
        <w:t xml:space="preserve"> </w:t>
      </w:r>
      <w:r w:rsidR="003C107E" w:rsidRPr="00141C43">
        <w:rPr>
          <w:rFonts w:ascii="Times New Roman" w:hAnsi="Times New Roman" w:cs="Times New Roman"/>
          <w:i/>
          <w:sz w:val="24"/>
          <w:szCs w:val="24"/>
        </w:rPr>
        <w:t xml:space="preserve">Financial </w:t>
      </w:r>
      <w:proofErr w:type="spellStart"/>
      <w:r w:rsidR="003C107E" w:rsidRPr="00141C43">
        <w:rPr>
          <w:rFonts w:ascii="Times New Roman" w:hAnsi="Times New Roman" w:cs="Times New Roman"/>
          <w:i/>
          <w:sz w:val="24"/>
          <w:szCs w:val="24"/>
        </w:rPr>
        <w:t>Accounting</w:t>
      </w:r>
      <w:proofErr w:type="spellEnd"/>
      <w:r w:rsidR="003C107E" w:rsidRPr="00141C43">
        <w:rPr>
          <w:rFonts w:ascii="Times New Roman" w:hAnsi="Times New Roman" w:cs="Times New Roman"/>
          <w:i/>
          <w:sz w:val="24"/>
          <w:szCs w:val="24"/>
        </w:rPr>
        <w:t xml:space="preserve"> Standards </w:t>
      </w:r>
      <w:proofErr w:type="spellStart"/>
      <w:r w:rsidR="003C107E" w:rsidRPr="00141C43">
        <w:rPr>
          <w:rFonts w:ascii="Times New Roman" w:hAnsi="Times New Roman" w:cs="Times New Roman"/>
          <w:i/>
          <w:sz w:val="24"/>
          <w:szCs w:val="24"/>
        </w:rPr>
        <w:t>Board</w:t>
      </w:r>
      <w:proofErr w:type="spellEnd"/>
      <w:r w:rsidR="003C107E" w:rsidRPr="00141C43">
        <w:rPr>
          <w:rFonts w:ascii="Times New Roman" w:hAnsi="Times New Roman" w:cs="Times New Roman"/>
          <w:sz w:val="24"/>
          <w:szCs w:val="24"/>
        </w:rPr>
        <w:t xml:space="preserve"> – FASB, para que</w:t>
      </w:r>
      <w:r w:rsidR="001C1D79" w:rsidRPr="00141C43">
        <w:rPr>
          <w:rFonts w:ascii="Times New Roman" w:hAnsi="Times New Roman" w:cs="Times New Roman"/>
          <w:sz w:val="24"/>
          <w:szCs w:val="24"/>
        </w:rPr>
        <w:t>,</w:t>
      </w:r>
      <w:r w:rsidR="003C107E" w:rsidRPr="00141C43">
        <w:rPr>
          <w:rFonts w:ascii="Times New Roman" w:hAnsi="Times New Roman" w:cs="Times New Roman"/>
          <w:sz w:val="24"/>
          <w:szCs w:val="24"/>
        </w:rPr>
        <w:t xml:space="preserve"> dessa maneira, </w:t>
      </w:r>
      <w:r w:rsidR="00947D6B" w:rsidRPr="00141C43">
        <w:rPr>
          <w:rFonts w:ascii="Times New Roman" w:hAnsi="Times New Roman" w:cs="Times New Roman"/>
          <w:sz w:val="24"/>
          <w:szCs w:val="24"/>
        </w:rPr>
        <w:t>tenha-se</w:t>
      </w:r>
      <w:r w:rsidR="003C107E" w:rsidRPr="00141C43">
        <w:rPr>
          <w:rFonts w:ascii="Times New Roman" w:hAnsi="Times New Roman" w:cs="Times New Roman"/>
          <w:sz w:val="24"/>
          <w:szCs w:val="24"/>
        </w:rPr>
        <w:t xml:space="preserve"> um padrão único de contabilidade às demonstrações financeiras.</w:t>
      </w:r>
    </w:p>
    <w:p w14:paraId="4543D2CA" w14:textId="4BB2F23A" w:rsidR="003C107E" w:rsidRPr="00141C43" w:rsidRDefault="00B835E7" w:rsidP="009B27C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Quando da</w:t>
      </w:r>
      <w:r w:rsidR="003704A7" w:rsidRPr="00141C43">
        <w:rPr>
          <w:rFonts w:ascii="Times New Roman" w:hAnsi="Times New Roman" w:cs="Times New Roman"/>
          <w:sz w:val="24"/>
          <w:szCs w:val="24"/>
        </w:rPr>
        <w:t xml:space="preserve"> publicação da</w:t>
      </w:r>
      <w:r w:rsidR="003C107E" w:rsidRPr="00141C43">
        <w:rPr>
          <w:rFonts w:ascii="Times New Roman" w:hAnsi="Times New Roman" w:cs="Times New Roman"/>
          <w:sz w:val="24"/>
          <w:szCs w:val="24"/>
        </w:rPr>
        <w:t xml:space="preserve"> </w:t>
      </w:r>
      <w:r w:rsidR="00395FDF" w:rsidRPr="00141C43">
        <w:rPr>
          <w:rFonts w:ascii="Times New Roman" w:hAnsi="Times New Roman" w:cs="Times New Roman"/>
          <w:sz w:val="24"/>
          <w:szCs w:val="24"/>
        </w:rPr>
        <w:t>n</w:t>
      </w:r>
      <w:r w:rsidR="003C107E" w:rsidRPr="00141C43">
        <w:rPr>
          <w:rFonts w:ascii="Times New Roman" w:hAnsi="Times New Roman" w:cs="Times New Roman"/>
          <w:sz w:val="24"/>
          <w:szCs w:val="24"/>
        </w:rPr>
        <w:t>orma</w:t>
      </w:r>
      <w:r w:rsidR="00316F4D" w:rsidRPr="00141C43">
        <w:rPr>
          <w:rFonts w:ascii="Times New Roman" w:hAnsi="Times New Roman" w:cs="Times New Roman"/>
          <w:sz w:val="24"/>
          <w:szCs w:val="24"/>
        </w:rPr>
        <w:t xml:space="preserve"> </w:t>
      </w:r>
      <w:proofErr w:type="spellStart"/>
      <w:r w:rsidR="00316F4D" w:rsidRPr="00141C43">
        <w:rPr>
          <w:rFonts w:ascii="Times New Roman" w:hAnsi="Times New Roman" w:cs="Times New Roman"/>
          <w:i/>
          <w:sz w:val="24"/>
          <w:szCs w:val="24"/>
        </w:rPr>
        <w:t>International</w:t>
      </w:r>
      <w:proofErr w:type="spellEnd"/>
      <w:r w:rsidR="00316F4D" w:rsidRPr="00141C43">
        <w:rPr>
          <w:rFonts w:ascii="Times New Roman" w:hAnsi="Times New Roman" w:cs="Times New Roman"/>
          <w:i/>
          <w:sz w:val="24"/>
          <w:szCs w:val="24"/>
        </w:rPr>
        <w:t xml:space="preserve"> </w:t>
      </w:r>
      <w:proofErr w:type="spellStart"/>
      <w:r w:rsidR="00316F4D" w:rsidRPr="00141C43">
        <w:rPr>
          <w:rFonts w:ascii="Times New Roman" w:hAnsi="Times New Roman" w:cs="Times New Roman"/>
          <w:i/>
          <w:sz w:val="24"/>
          <w:szCs w:val="24"/>
        </w:rPr>
        <w:t>Accounting</w:t>
      </w:r>
      <w:proofErr w:type="spellEnd"/>
      <w:r w:rsidR="00316F4D" w:rsidRPr="00141C43">
        <w:rPr>
          <w:rFonts w:ascii="Times New Roman" w:hAnsi="Times New Roman" w:cs="Times New Roman"/>
          <w:i/>
          <w:sz w:val="24"/>
          <w:szCs w:val="24"/>
        </w:rPr>
        <w:t xml:space="preserve"> Standards</w:t>
      </w:r>
      <w:r w:rsidR="00316F4D" w:rsidRPr="00141C43">
        <w:rPr>
          <w:rFonts w:ascii="Times New Roman" w:hAnsi="Times New Roman" w:cs="Times New Roman"/>
          <w:sz w:val="24"/>
          <w:szCs w:val="24"/>
        </w:rPr>
        <w:t xml:space="preserve"> – IAS 39</w:t>
      </w:r>
      <w:r w:rsidR="003250CE" w:rsidRPr="00141C43">
        <w:rPr>
          <w:rFonts w:ascii="Times New Roman" w:hAnsi="Times New Roman" w:cs="Times New Roman"/>
          <w:sz w:val="24"/>
          <w:szCs w:val="24"/>
        </w:rPr>
        <w:t>,</w:t>
      </w:r>
      <w:r w:rsidR="003C107E" w:rsidRPr="00141C43">
        <w:rPr>
          <w:rFonts w:ascii="Times New Roman" w:hAnsi="Times New Roman" w:cs="Times New Roman"/>
          <w:sz w:val="24"/>
          <w:szCs w:val="24"/>
        </w:rPr>
        <w:t xml:space="preserve"> de reconhecimento e mensuração para os instrumentos financeiros</w:t>
      </w:r>
      <w:r w:rsidR="003704A7" w:rsidRPr="00141C43">
        <w:rPr>
          <w:rFonts w:ascii="Times New Roman" w:hAnsi="Times New Roman" w:cs="Times New Roman"/>
          <w:sz w:val="24"/>
          <w:szCs w:val="24"/>
        </w:rPr>
        <w:t>, as seguradoras e instituições financeiras</w:t>
      </w:r>
      <w:r w:rsidR="003C107E" w:rsidRPr="00141C43">
        <w:rPr>
          <w:rFonts w:ascii="Times New Roman" w:hAnsi="Times New Roman" w:cs="Times New Roman"/>
          <w:sz w:val="24"/>
          <w:szCs w:val="24"/>
        </w:rPr>
        <w:t xml:space="preserve"> </w:t>
      </w:r>
      <w:r w:rsidR="001C1D79" w:rsidRPr="00141C43">
        <w:rPr>
          <w:rFonts w:ascii="Times New Roman" w:hAnsi="Times New Roman" w:cs="Times New Roman"/>
          <w:sz w:val="24"/>
          <w:szCs w:val="24"/>
        </w:rPr>
        <w:t xml:space="preserve">tiveram muita dificuldade </w:t>
      </w:r>
      <w:r w:rsidR="003250CE" w:rsidRPr="00141C43">
        <w:rPr>
          <w:rFonts w:ascii="Times New Roman" w:hAnsi="Times New Roman" w:cs="Times New Roman"/>
          <w:sz w:val="24"/>
          <w:szCs w:val="24"/>
        </w:rPr>
        <w:t>na sua execução</w:t>
      </w:r>
      <w:r w:rsidR="001C1D79" w:rsidRPr="00141C43">
        <w:rPr>
          <w:rFonts w:ascii="Times New Roman" w:hAnsi="Times New Roman" w:cs="Times New Roman"/>
          <w:sz w:val="24"/>
          <w:szCs w:val="24"/>
        </w:rPr>
        <w:t>. C</w:t>
      </w:r>
      <w:r w:rsidR="009B27C1" w:rsidRPr="00141C43">
        <w:rPr>
          <w:rFonts w:ascii="Times New Roman" w:hAnsi="Times New Roman" w:cs="Times New Roman"/>
          <w:sz w:val="24"/>
          <w:szCs w:val="24"/>
        </w:rPr>
        <w:t>om isso</w:t>
      </w:r>
      <w:r w:rsidR="001C1D79" w:rsidRPr="00141C43">
        <w:rPr>
          <w:rFonts w:ascii="Times New Roman" w:hAnsi="Times New Roman" w:cs="Times New Roman"/>
          <w:sz w:val="24"/>
          <w:szCs w:val="24"/>
        </w:rPr>
        <w:t>,</w:t>
      </w:r>
      <w:r w:rsidR="009B27C1" w:rsidRPr="00141C43">
        <w:rPr>
          <w:rFonts w:ascii="Times New Roman" w:hAnsi="Times New Roman" w:cs="Times New Roman"/>
          <w:sz w:val="24"/>
          <w:szCs w:val="24"/>
        </w:rPr>
        <w:t xml:space="preserve"> o IASB </w:t>
      </w:r>
      <w:r w:rsidR="001C1D79" w:rsidRPr="00141C43">
        <w:rPr>
          <w:rFonts w:ascii="Times New Roman" w:hAnsi="Times New Roman" w:cs="Times New Roman"/>
          <w:sz w:val="24"/>
          <w:szCs w:val="24"/>
        </w:rPr>
        <w:t>precisou</w:t>
      </w:r>
      <w:r w:rsidR="00316F4D" w:rsidRPr="00141C43">
        <w:rPr>
          <w:rFonts w:ascii="Times New Roman" w:hAnsi="Times New Roman" w:cs="Times New Roman"/>
          <w:sz w:val="24"/>
          <w:szCs w:val="24"/>
        </w:rPr>
        <w:t xml:space="preserve"> substitu</w:t>
      </w:r>
      <w:r w:rsidR="003250CE" w:rsidRPr="00141C43">
        <w:rPr>
          <w:rFonts w:ascii="Times New Roman" w:hAnsi="Times New Roman" w:cs="Times New Roman"/>
          <w:sz w:val="24"/>
          <w:szCs w:val="24"/>
        </w:rPr>
        <w:t>i-la</w:t>
      </w:r>
      <w:r w:rsidRPr="00141C43">
        <w:rPr>
          <w:rFonts w:ascii="Times New Roman" w:hAnsi="Times New Roman" w:cs="Times New Roman"/>
          <w:sz w:val="24"/>
          <w:szCs w:val="24"/>
        </w:rPr>
        <w:t xml:space="preserve">, projetando uma nova, </w:t>
      </w:r>
      <w:r w:rsidR="007326D3" w:rsidRPr="00141C43">
        <w:rPr>
          <w:rFonts w:ascii="Times New Roman" w:hAnsi="Times New Roman" w:cs="Times New Roman"/>
          <w:sz w:val="24"/>
          <w:szCs w:val="24"/>
        </w:rPr>
        <w:t>chamada</w:t>
      </w:r>
      <w:r w:rsidR="00860ED6" w:rsidRPr="00141C43">
        <w:rPr>
          <w:rFonts w:ascii="Times New Roman" w:hAnsi="Times New Roman" w:cs="Times New Roman"/>
          <w:sz w:val="24"/>
          <w:szCs w:val="24"/>
        </w:rPr>
        <w:t xml:space="preserve"> pel</w:t>
      </w:r>
      <w:r w:rsidR="009B27C1" w:rsidRPr="00141C43">
        <w:rPr>
          <w:rFonts w:ascii="Times New Roman" w:hAnsi="Times New Roman" w:cs="Times New Roman"/>
          <w:sz w:val="24"/>
          <w:szCs w:val="24"/>
        </w:rPr>
        <w:t xml:space="preserve">o </w:t>
      </w:r>
      <w:proofErr w:type="spellStart"/>
      <w:r w:rsidR="009B27C1" w:rsidRPr="00141C43">
        <w:rPr>
          <w:rFonts w:ascii="Times New Roman" w:hAnsi="Times New Roman" w:cs="Times New Roman"/>
          <w:i/>
          <w:sz w:val="24"/>
          <w:szCs w:val="24"/>
        </w:rPr>
        <w:t>International</w:t>
      </w:r>
      <w:proofErr w:type="spellEnd"/>
      <w:r w:rsidR="009B27C1" w:rsidRPr="00141C43">
        <w:rPr>
          <w:rFonts w:ascii="Times New Roman" w:hAnsi="Times New Roman" w:cs="Times New Roman"/>
          <w:i/>
          <w:sz w:val="24"/>
          <w:szCs w:val="24"/>
        </w:rPr>
        <w:t xml:space="preserve"> </w:t>
      </w:r>
      <w:proofErr w:type="spellStart"/>
      <w:r w:rsidR="009B27C1" w:rsidRPr="00141C43">
        <w:rPr>
          <w:rFonts w:ascii="Times New Roman" w:hAnsi="Times New Roman" w:cs="Times New Roman"/>
          <w:i/>
          <w:sz w:val="24"/>
          <w:szCs w:val="24"/>
        </w:rPr>
        <w:t>Finance</w:t>
      </w:r>
      <w:proofErr w:type="spellEnd"/>
      <w:r w:rsidR="009B27C1" w:rsidRPr="00141C43">
        <w:rPr>
          <w:rFonts w:ascii="Times New Roman" w:hAnsi="Times New Roman" w:cs="Times New Roman"/>
          <w:i/>
          <w:sz w:val="24"/>
          <w:szCs w:val="24"/>
        </w:rPr>
        <w:t xml:space="preserve"> </w:t>
      </w:r>
      <w:proofErr w:type="spellStart"/>
      <w:r w:rsidR="009B27C1" w:rsidRPr="00141C43">
        <w:rPr>
          <w:rFonts w:ascii="Times New Roman" w:hAnsi="Times New Roman" w:cs="Times New Roman"/>
          <w:i/>
          <w:sz w:val="24"/>
          <w:szCs w:val="24"/>
        </w:rPr>
        <w:t>Reporting</w:t>
      </w:r>
      <w:proofErr w:type="spellEnd"/>
      <w:r w:rsidR="009B27C1" w:rsidRPr="00141C43">
        <w:rPr>
          <w:rFonts w:ascii="Times New Roman" w:hAnsi="Times New Roman" w:cs="Times New Roman"/>
          <w:i/>
          <w:sz w:val="24"/>
          <w:szCs w:val="24"/>
        </w:rPr>
        <w:t xml:space="preserve"> Standards</w:t>
      </w:r>
      <w:r w:rsidR="00395FDF" w:rsidRPr="00141C43">
        <w:rPr>
          <w:rFonts w:ascii="Times New Roman" w:hAnsi="Times New Roman" w:cs="Times New Roman"/>
          <w:sz w:val="24"/>
          <w:szCs w:val="24"/>
        </w:rPr>
        <w:t xml:space="preserve"> </w:t>
      </w:r>
      <w:r w:rsidR="007326D3" w:rsidRPr="00141C43">
        <w:rPr>
          <w:rFonts w:ascii="Times New Roman" w:hAnsi="Times New Roman" w:cs="Times New Roman"/>
          <w:sz w:val="24"/>
          <w:szCs w:val="24"/>
        </w:rPr>
        <w:t xml:space="preserve">de </w:t>
      </w:r>
      <w:r w:rsidR="00395FDF" w:rsidRPr="00141C43">
        <w:rPr>
          <w:rFonts w:ascii="Times New Roman" w:hAnsi="Times New Roman" w:cs="Times New Roman"/>
          <w:sz w:val="24"/>
          <w:szCs w:val="24"/>
        </w:rPr>
        <w:t xml:space="preserve">IFRS 9 </w:t>
      </w:r>
      <w:r w:rsidRPr="00141C43">
        <w:rPr>
          <w:rFonts w:ascii="Times New Roman" w:hAnsi="Times New Roman" w:cs="Times New Roman"/>
          <w:sz w:val="24"/>
          <w:szCs w:val="24"/>
        </w:rPr>
        <w:t xml:space="preserve">- </w:t>
      </w:r>
      <w:r w:rsidR="00395FDF" w:rsidRPr="00141C43">
        <w:rPr>
          <w:rFonts w:ascii="Times New Roman" w:hAnsi="Times New Roman" w:cs="Times New Roman"/>
          <w:i/>
          <w:sz w:val="24"/>
          <w:szCs w:val="24"/>
        </w:rPr>
        <w:t xml:space="preserve">Financial </w:t>
      </w:r>
      <w:proofErr w:type="spellStart"/>
      <w:r w:rsidR="00395FDF" w:rsidRPr="00141C43">
        <w:rPr>
          <w:rFonts w:ascii="Times New Roman" w:hAnsi="Times New Roman" w:cs="Times New Roman"/>
          <w:i/>
          <w:sz w:val="24"/>
          <w:szCs w:val="24"/>
        </w:rPr>
        <w:t>Instruments</w:t>
      </w:r>
      <w:proofErr w:type="spellEnd"/>
      <w:r w:rsidR="00395FDF" w:rsidRPr="00141C43">
        <w:rPr>
          <w:rFonts w:ascii="Times New Roman" w:hAnsi="Times New Roman" w:cs="Times New Roman"/>
          <w:i/>
          <w:sz w:val="24"/>
          <w:szCs w:val="24"/>
        </w:rPr>
        <w:t xml:space="preserve">: </w:t>
      </w:r>
      <w:proofErr w:type="spellStart"/>
      <w:r w:rsidR="00395FDF" w:rsidRPr="00141C43">
        <w:rPr>
          <w:rFonts w:ascii="Times New Roman" w:hAnsi="Times New Roman" w:cs="Times New Roman"/>
          <w:i/>
          <w:sz w:val="24"/>
          <w:szCs w:val="24"/>
        </w:rPr>
        <w:t>Recognition</w:t>
      </w:r>
      <w:proofErr w:type="spellEnd"/>
      <w:r w:rsidR="00395FDF" w:rsidRPr="00141C43">
        <w:rPr>
          <w:rFonts w:ascii="Times New Roman" w:hAnsi="Times New Roman" w:cs="Times New Roman"/>
          <w:i/>
          <w:sz w:val="24"/>
          <w:szCs w:val="24"/>
        </w:rPr>
        <w:t xml:space="preserve"> </w:t>
      </w:r>
      <w:proofErr w:type="spellStart"/>
      <w:r w:rsidR="00395FDF" w:rsidRPr="00141C43">
        <w:rPr>
          <w:rFonts w:ascii="Times New Roman" w:hAnsi="Times New Roman" w:cs="Times New Roman"/>
          <w:i/>
          <w:sz w:val="24"/>
          <w:szCs w:val="24"/>
        </w:rPr>
        <w:t>and</w:t>
      </w:r>
      <w:proofErr w:type="spellEnd"/>
      <w:r w:rsidR="00395FDF" w:rsidRPr="00141C43">
        <w:rPr>
          <w:rFonts w:ascii="Times New Roman" w:hAnsi="Times New Roman" w:cs="Times New Roman"/>
          <w:i/>
          <w:sz w:val="24"/>
          <w:szCs w:val="24"/>
        </w:rPr>
        <w:t xml:space="preserve"> </w:t>
      </w:r>
      <w:proofErr w:type="spellStart"/>
      <w:r w:rsidR="00CE6328" w:rsidRPr="00141C43">
        <w:rPr>
          <w:rFonts w:ascii="Times New Roman" w:hAnsi="Times New Roman" w:cs="Times New Roman"/>
          <w:i/>
          <w:sz w:val="24"/>
          <w:szCs w:val="24"/>
        </w:rPr>
        <w:t>Measurement</w:t>
      </w:r>
      <w:proofErr w:type="spellEnd"/>
      <w:r w:rsidR="009B3D7D" w:rsidRPr="00141C43">
        <w:rPr>
          <w:rFonts w:ascii="Times New Roman" w:hAnsi="Times New Roman" w:cs="Times New Roman"/>
          <w:sz w:val="24"/>
          <w:szCs w:val="24"/>
        </w:rPr>
        <w:t xml:space="preserve"> (</w:t>
      </w:r>
      <w:r w:rsidR="00C86D5E" w:rsidRPr="00141C43">
        <w:rPr>
          <w:rFonts w:ascii="Times New Roman" w:hAnsi="Times New Roman" w:cs="Times New Roman"/>
          <w:sz w:val="24"/>
          <w:szCs w:val="24"/>
        </w:rPr>
        <w:t>IFRS</w:t>
      </w:r>
      <w:r w:rsidR="005269C2">
        <w:rPr>
          <w:rFonts w:ascii="Times New Roman" w:hAnsi="Times New Roman" w:cs="Times New Roman"/>
          <w:sz w:val="24"/>
          <w:szCs w:val="24"/>
        </w:rPr>
        <w:t xml:space="preserve"> 9</w:t>
      </w:r>
      <w:r w:rsidR="009B3D7D" w:rsidRPr="00141C43">
        <w:rPr>
          <w:rFonts w:ascii="Times New Roman" w:hAnsi="Times New Roman" w:cs="Times New Roman"/>
          <w:sz w:val="24"/>
          <w:szCs w:val="24"/>
        </w:rPr>
        <w:t>, 2015)</w:t>
      </w:r>
      <w:r w:rsidR="003C107E" w:rsidRPr="00141C43">
        <w:rPr>
          <w:rFonts w:ascii="Times New Roman" w:hAnsi="Times New Roman" w:cs="Times New Roman"/>
          <w:sz w:val="24"/>
          <w:szCs w:val="24"/>
        </w:rPr>
        <w:t xml:space="preserve">. </w:t>
      </w:r>
    </w:p>
    <w:p w14:paraId="55FA6207" w14:textId="77777777" w:rsidR="00720BB7" w:rsidRPr="00141C43" w:rsidRDefault="00720BB7" w:rsidP="003C107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No Brasil</w:t>
      </w:r>
      <w:r w:rsidR="007326D3" w:rsidRPr="00141C43">
        <w:rPr>
          <w:rFonts w:ascii="Times New Roman" w:hAnsi="Times New Roman" w:cs="Times New Roman"/>
          <w:sz w:val="24"/>
          <w:szCs w:val="24"/>
        </w:rPr>
        <w:t>,</w:t>
      </w:r>
      <w:r w:rsidRPr="00141C43">
        <w:rPr>
          <w:rFonts w:ascii="Times New Roman" w:hAnsi="Times New Roman" w:cs="Times New Roman"/>
          <w:sz w:val="24"/>
          <w:szCs w:val="24"/>
        </w:rPr>
        <w:t xml:space="preserve"> as normas são e</w:t>
      </w:r>
      <w:r w:rsidR="00395FDF" w:rsidRPr="00141C43">
        <w:rPr>
          <w:rFonts w:ascii="Times New Roman" w:hAnsi="Times New Roman" w:cs="Times New Roman"/>
          <w:sz w:val="24"/>
          <w:szCs w:val="24"/>
        </w:rPr>
        <w:t xml:space="preserve">xpedidas </w:t>
      </w:r>
      <w:r w:rsidR="007326D3" w:rsidRPr="00141C43">
        <w:rPr>
          <w:rFonts w:ascii="Times New Roman" w:hAnsi="Times New Roman" w:cs="Times New Roman"/>
          <w:sz w:val="24"/>
          <w:szCs w:val="24"/>
        </w:rPr>
        <w:t>por um</w:t>
      </w:r>
      <w:r w:rsidR="00395FDF" w:rsidRPr="00141C43">
        <w:rPr>
          <w:rFonts w:ascii="Times New Roman" w:hAnsi="Times New Roman" w:cs="Times New Roman"/>
          <w:sz w:val="24"/>
          <w:szCs w:val="24"/>
        </w:rPr>
        <w:t xml:space="preserve"> órgão normat</w:t>
      </w:r>
      <w:r w:rsidRPr="00141C43">
        <w:rPr>
          <w:rFonts w:ascii="Times New Roman" w:hAnsi="Times New Roman" w:cs="Times New Roman"/>
          <w:sz w:val="24"/>
          <w:szCs w:val="24"/>
        </w:rPr>
        <w:t>izador</w:t>
      </w:r>
      <w:r w:rsidR="00B835E7" w:rsidRPr="00141C43">
        <w:rPr>
          <w:rFonts w:ascii="Times New Roman" w:hAnsi="Times New Roman" w:cs="Times New Roman"/>
          <w:sz w:val="24"/>
          <w:szCs w:val="24"/>
        </w:rPr>
        <w:t>,</w:t>
      </w:r>
      <w:r w:rsidRPr="00141C43">
        <w:rPr>
          <w:rFonts w:ascii="Times New Roman" w:hAnsi="Times New Roman" w:cs="Times New Roman"/>
          <w:sz w:val="24"/>
          <w:szCs w:val="24"/>
        </w:rPr>
        <w:t xml:space="preserve"> </w:t>
      </w:r>
      <w:r w:rsidR="009B3D7D" w:rsidRPr="00141C43">
        <w:rPr>
          <w:rFonts w:ascii="Times New Roman" w:hAnsi="Times New Roman" w:cs="Times New Roman"/>
          <w:sz w:val="24"/>
          <w:szCs w:val="24"/>
        </w:rPr>
        <w:t>conhecido como</w:t>
      </w:r>
      <w:r w:rsidRPr="00141C43">
        <w:rPr>
          <w:rFonts w:ascii="Times New Roman" w:hAnsi="Times New Roman" w:cs="Times New Roman"/>
          <w:sz w:val="24"/>
          <w:szCs w:val="24"/>
        </w:rPr>
        <w:t xml:space="preserve"> Comitê de Pronunciamentos Contábeis – CPC</w:t>
      </w:r>
      <w:r w:rsidR="007326D3" w:rsidRPr="00141C43">
        <w:rPr>
          <w:rFonts w:ascii="Times New Roman" w:hAnsi="Times New Roman" w:cs="Times New Roman"/>
          <w:sz w:val="24"/>
          <w:szCs w:val="24"/>
        </w:rPr>
        <w:t>. Q</w:t>
      </w:r>
      <w:r w:rsidRPr="00141C43">
        <w:rPr>
          <w:rFonts w:ascii="Times New Roman" w:hAnsi="Times New Roman" w:cs="Times New Roman"/>
          <w:sz w:val="24"/>
          <w:szCs w:val="24"/>
        </w:rPr>
        <w:t xml:space="preserve">uando o IASB </w:t>
      </w:r>
      <w:r w:rsidR="008D44D3" w:rsidRPr="00141C43">
        <w:rPr>
          <w:rFonts w:ascii="Times New Roman" w:hAnsi="Times New Roman" w:cs="Times New Roman"/>
          <w:sz w:val="24"/>
          <w:szCs w:val="24"/>
        </w:rPr>
        <w:t>pronuncia</w:t>
      </w:r>
      <w:r w:rsidRPr="00141C43">
        <w:rPr>
          <w:rFonts w:ascii="Times New Roman" w:hAnsi="Times New Roman" w:cs="Times New Roman"/>
          <w:sz w:val="24"/>
          <w:szCs w:val="24"/>
        </w:rPr>
        <w:t xml:space="preserve"> um</w:t>
      </w:r>
      <w:r w:rsidR="008D44D3" w:rsidRPr="00141C43">
        <w:rPr>
          <w:rFonts w:ascii="Times New Roman" w:hAnsi="Times New Roman" w:cs="Times New Roman"/>
          <w:sz w:val="24"/>
          <w:szCs w:val="24"/>
        </w:rPr>
        <w:t>a</w:t>
      </w:r>
      <w:r w:rsidRPr="00141C43">
        <w:rPr>
          <w:rFonts w:ascii="Times New Roman" w:hAnsi="Times New Roman" w:cs="Times New Roman"/>
          <w:sz w:val="24"/>
          <w:szCs w:val="24"/>
        </w:rPr>
        <w:t xml:space="preserve"> </w:t>
      </w:r>
      <w:r w:rsidR="008D44D3" w:rsidRPr="00141C43">
        <w:rPr>
          <w:rFonts w:ascii="Times New Roman" w:hAnsi="Times New Roman" w:cs="Times New Roman"/>
          <w:sz w:val="24"/>
          <w:szCs w:val="24"/>
        </w:rPr>
        <w:t>nova norma</w:t>
      </w:r>
      <w:r w:rsidR="00601349" w:rsidRPr="00141C43">
        <w:rPr>
          <w:rFonts w:ascii="Times New Roman" w:hAnsi="Times New Roman" w:cs="Times New Roman"/>
          <w:sz w:val="24"/>
          <w:szCs w:val="24"/>
        </w:rPr>
        <w:t xml:space="preserve"> ou mesmo altera uma </w:t>
      </w:r>
      <w:r w:rsidR="007326D3" w:rsidRPr="00141C43">
        <w:rPr>
          <w:rFonts w:ascii="Times New Roman" w:hAnsi="Times New Roman" w:cs="Times New Roman"/>
          <w:sz w:val="24"/>
          <w:szCs w:val="24"/>
        </w:rPr>
        <w:t>já</w:t>
      </w:r>
      <w:r w:rsidR="00601349" w:rsidRPr="00141C43">
        <w:rPr>
          <w:rFonts w:ascii="Times New Roman" w:hAnsi="Times New Roman" w:cs="Times New Roman"/>
          <w:sz w:val="24"/>
          <w:szCs w:val="24"/>
        </w:rPr>
        <w:t xml:space="preserve"> existente</w:t>
      </w:r>
      <w:r w:rsidR="007326D3" w:rsidRPr="00141C43">
        <w:rPr>
          <w:rFonts w:ascii="Times New Roman" w:hAnsi="Times New Roman" w:cs="Times New Roman"/>
          <w:sz w:val="24"/>
          <w:szCs w:val="24"/>
        </w:rPr>
        <w:t>,</w:t>
      </w:r>
      <w:r w:rsidRPr="00141C43">
        <w:rPr>
          <w:rFonts w:ascii="Times New Roman" w:hAnsi="Times New Roman" w:cs="Times New Roman"/>
          <w:sz w:val="24"/>
          <w:szCs w:val="24"/>
        </w:rPr>
        <w:t xml:space="preserve"> o CPC traduz </w:t>
      </w:r>
      <w:r w:rsidR="007326D3" w:rsidRPr="00141C43">
        <w:rPr>
          <w:rFonts w:ascii="Times New Roman" w:hAnsi="Times New Roman" w:cs="Times New Roman"/>
          <w:sz w:val="24"/>
          <w:szCs w:val="24"/>
        </w:rPr>
        <w:t>a</w:t>
      </w:r>
      <w:r w:rsidRPr="00141C43">
        <w:rPr>
          <w:rFonts w:ascii="Times New Roman" w:hAnsi="Times New Roman" w:cs="Times New Roman"/>
          <w:sz w:val="24"/>
          <w:szCs w:val="24"/>
        </w:rPr>
        <w:t xml:space="preserve"> que foi </w:t>
      </w:r>
      <w:r w:rsidR="008D44D3" w:rsidRPr="00141C43">
        <w:rPr>
          <w:rFonts w:ascii="Times New Roman" w:hAnsi="Times New Roman" w:cs="Times New Roman"/>
          <w:sz w:val="24"/>
          <w:szCs w:val="24"/>
        </w:rPr>
        <w:t>apresentad</w:t>
      </w:r>
      <w:r w:rsidR="007326D3" w:rsidRPr="00141C43">
        <w:rPr>
          <w:rFonts w:ascii="Times New Roman" w:hAnsi="Times New Roman" w:cs="Times New Roman"/>
          <w:sz w:val="24"/>
          <w:szCs w:val="24"/>
        </w:rPr>
        <w:t>a</w:t>
      </w:r>
      <w:r w:rsidRPr="00141C43">
        <w:rPr>
          <w:rFonts w:ascii="Times New Roman" w:hAnsi="Times New Roman" w:cs="Times New Roman"/>
          <w:sz w:val="24"/>
          <w:szCs w:val="24"/>
        </w:rPr>
        <w:t xml:space="preserve"> pelo IASB e procura</w:t>
      </w:r>
      <w:r w:rsidR="008D44D3" w:rsidRPr="00141C43">
        <w:rPr>
          <w:rFonts w:ascii="Times New Roman" w:hAnsi="Times New Roman" w:cs="Times New Roman"/>
          <w:sz w:val="24"/>
          <w:szCs w:val="24"/>
        </w:rPr>
        <w:t xml:space="preserve"> </w:t>
      </w:r>
      <w:r w:rsidR="007326D3" w:rsidRPr="00141C43">
        <w:rPr>
          <w:rFonts w:ascii="Times New Roman" w:hAnsi="Times New Roman" w:cs="Times New Roman"/>
          <w:sz w:val="24"/>
          <w:szCs w:val="24"/>
        </w:rPr>
        <w:t>harmonizá-la</w:t>
      </w:r>
      <w:r w:rsidRPr="00141C43">
        <w:rPr>
          <w:rFonts w:ascii="Times New Roman" w:hAnsi="Times New Roman" w:cs="Times New Roman"/>
          <w:sz w:val="24"/>
          <w:szCs w:val="24"/>
        </w:rPr>
        <w:t xml:space="preserve"> </w:t>
      </w:r>
      <w:r w:rsidR="00601349" w:rsidRPr="00141C43">
        <w:rPr>
          <w:rFonts w:ascii="Times New Roman" w:hAnsi="Times New Roman" w:cs="Times New Roman"/>
          <w:sz w:val="24"/>
          <w:szCs w:val="24"/>
        </w:rPr>
        <w:t>com</w:t>
      </w:r>
      <w:r w:rsidRPr="00141C43">
        <w:rPr>
          <w:rFonts w:ascii="Times New Roman" w:hAnsi="Times New Roman" w:cs="Times New Roman"/>
          <w:sz w:val="24"/>
          <w:szCs w:val="24"/>
        </w:rPr>
        <w:t xml:space="preserve"> as regras e leis brasileiras.</w:t>
      </w:r>
    </w:p>
    <w:p w14:paraId="7B3F8A1F" w14:textId="5CAA9041" w:rsidR="00720BB7" w:rsidRPr="00141C43" w:rsidRDefault="00720BB7"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O IFRS</w:t>
      </w:r>
      <w:r w:rsidR="0099054F" w:rsidRPr="00141C43">
        <w:rPr>
          <w:rFonts w:ascii="Times New Roman" w:hAnsi="Times New Roman" w:cs="Times New Roman"/>
          <w:sz w:val="24"/>
          <w:szCs w:val="24"/>
        </w:rPr>
        <w:t xml:space="preserve"> 9 demonstra</w:t>
      </w:r>
      <w:r w:rsidRPr="00141C43">
        <w:rPr>
          <w:rFonts w:ascii="Times New Roman" w:hAnsi="Times New Roman" w:cs="Times New Roman"/>
          <w:sz w:val="24"/>
          <w:szCs w:val="24"/>
        </w:rPr>
        <w:t xml:space="preserve"> a nova forma de reconhecimento e mensuração para ativos e passivos financeiros</w:t>
      </w:r>
      <w:r w:rsidR="007326D3" w:rsidRPr="00141C43">
        <w:rPr>
          <w:rFonts w:ascii="Times New Roman" w:hAnsi="Times New Roman" w:cs="Times New Roman"/>
          <w:sz w:val="24"/>
          <w:szCs w:val="24"/>
        </w:rPr>
        <w:t>. Nesse cenário, houve</w:t>
      </w:r>
      <w:r w:rsidRPr="00141C43">
        <w:rPr>
          <w:rFonts w:ascii="Times New Roman" w:hAnsi="Times New Roman" w:cs="Times New Roman"/>
          <w:sz w:val="24"/>
          <w:szCs w:val="24"/>
        </w:rPr>
        <w:t xml:space="preserve"> grande modificação para os critérios de classificações de </w:t>
      </w:r>
      <w:r w:rsidR="00035F63" w:rsidRPr="00141C43">
        <w:rPr>
          <w:rFonts w:ascii="Times New Roman" w:hAnsi="Times New Roman" w:cs="Times New Roman"/>
          <w:sz w:val="24"/>
          <w:szCs w:val="24"/>
        </w:rPr>
        <w:t>seus instrumentos financeiros</w:t>
      </w:r>
      <w:r w:rsidR="00860ED6" w:rsidRPr="00141C43">
        <w:rPr>
          <w:rFonts w:ascii="Times New Roman" w:hAnsi="Times New Roman" w:cs="Times New Roman"/>
          <w:sz w:val="24"/>
          <w:szCs w:val="24"/>
        </w:rPr>
        <w:t xml:space="preserve">, procurando uma forma mais clara e objetiva </w:t>
      </w:r>
      <w:r w:rsidR="007326D3" w:rsidRPr="00141C43">
        <w:rPr>
          <w:rFonts w:ascii="Times New Roman" w:hAnsi="Times New Roman" w:cs="Times New Roman"/>
          <w:sz w:val="24"/>
          <w:szCs w:val="24"/>
        </w:rPr>
        <w:t>de</w:t>
      </w:r>
      <w:r w:rsidR="00860ED6" w:rsidRPr="00141C43">
        <w:rPr>
          <w:rFonts w:ascii="Times New Roman" w:hAnsi="Times New Roman" w:cs="Times New Roman"/>
          <w:sz w:val="24"/>
          <w:szCs w:val="24"/>
        </w:rPr>
        <w:t xml:space="preserve"> executar suas políticas de classificação </w:t>
      </w:r>
      <w:r w:rsidR="00C60C0D" w:rsidRPr="00141C43">
        <w:rPr>
          <w:rFonts w:ascii="Times New Roman" w:hAnsi="Times New Roman" w:cs="Times New Roman"/>
          <w:sz w:val="24"/>
          <w:szCs w:val="24"/>
        </w:rPr>
        <w:t>d</w:t>
      </w:r>
      <w:r w:rsidR="0064751D" w:rsidRPr="00141C43">
        <w:rPr>
          <w:rFonts w:ascii="Times New Roman" w:hAnsi="Times New Roman" w:cs="Times New Roman"/>
          <w:sz w:val="24"/>
          <w:szCs w:val="24"/>
        </w:rPr>
        <w:t>esse instrumento.</w:t>
      </w:r>
    </w:p>
    <w:p w14:paraId="4FA2BE40" w14:textId="4A27FB5E" w:rsidR="00720BB7" w:rsidRDefault="007326D3"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A</w:t>
      </w:r>
      <w:r w:rsidR="0008555E">
        <w:rPr>
          <w:rFonts w:ascii="Times New Roman" w:hAnsi="Times New Roman" w:cs="Times New Roman"/>
          <w:sz w:val="24"/>
          <w:szCs w:val="24"/>
        </w:rPr>
        <w:t xml:space="preserve"> IAS</w:t>
      </w:r>
      <w:r w:rsidR="00720BB7" w:rsidRPr="00141C43">
        <w:rPr>
          <w:rFonts w:ascii="Times New Roman" w:hAnsi="Times New Roman" w:cs="Times New Roman"/>
          <w:sz w:val="24"/>
          <w:szCs w:val="24"/>
        </w:rPr>
        <w:t>39</w:t>
      </w:r>
      <w:r w:rsidRPr="00141C43">
        <w:rPr>
          <w:rFonts w:ascii="Times New Roman" w:hAnsi="Times New Roman" w:cs="Times New Roman"/>
          <w:sz w:val="24"/>
          <w:szCs w:val="24"/>
        </w:rPr>
        <w:t xml:space="preserve"> tem </w:t>
      </w:r>
      <w:r w:rsidR="00720BB7" w:rsidRPr="00141C43">
        <w:rPr>
          <w:rFonts w:ascii="Times New Roman" w:hAnsi="Times New Roman" w:cs="Times New Roman"/>
          <w:sz w:val="24"/>
          <w:szCs w:val="24"/>
        </w:rPr>
        <w:t>quatro critérios de classificação</w:t>
      </w:r>
      <w:r w:rsidR="00A812CB">
        <w:rPr>
          <w:rFonts w:ascii="Times New Roman" w:hAnsi="Times New Roman" w:cs="Times New Roman"/>
          <w:sz w:val="24"/>
          <w:szCs w:val="24"/>
        </w:rPr>
        <w:t xml:space="preserve"> e o IFRS9 tem dois critérios de classificação que será apresentada na tabela 1</w:t>
      </w:r>
      <w:r w:rsidR="00720BB7" w:rsidRPr="00141C43">
        <w:rPr>
          <w:rFonts w:ascii="Times New Roman" w:hAnsi="Times New Roman" w:cs="Times New Roman"/>
          <w:sz w:val="24"/>
          <w:szCs w:val="24"/>
        </w:rPr>
        <w:t>:</w:t>
      </w:r>
    </w:p>
    <w:p w14:paraId="31696D59" w14:textId="2472BACC" w:rsidR="00770F41" w:rsidRDefault="007326D3"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A</w:t>
      </w:r>
      <w:r w:rsidR="00855A32" w:rsidRPr="00141C43">
        <w:rPr>
          <w:rFonts w:ascii="Times New Roman" w:hAnsi="Times New Roman" w:cs="Times New Roman"/>
          <w:sz w:val="24"/>
          <w:szCs w:val="24"/>
        </w:rPr>
        <w:t xml:space="preserve"> tabela 1</w:t>
      </w:r>
      <w:r w:rsidR="00860ED6" w:rsidRPr="00141C43">
        <w:rPr>
          <w:rFonts w:ascii="Times New Roman" w:hAnsi="Times New Roman" w:cs="Times New Roman"/>
          <w:sz w:val="24"/>
          <w:szCs w:val="24"/>
        </w:rPr>
        <w:t xml:space="preserve">, </w:t>
      </w:r>
      <w:r w:rsidRPr="00141C43">
        <w:rPr>
          <w:rFonts w:ascii="Times New Roman" w:hAnsi="Times New Roman" w:cs="Times New Roman"/>
          <w:sz w:val="24"/>
          <w:szCs w:val="24"/>
        </w:rPr>
        <w:t xml:space="preserve">adiante, </w:t>
      </w:r>
      <w:r w:rsidR="00860ED6" w:rsidRPr="00141C43">
        <w:rPr>
          <w:rFonts w:ascii="Times New Roman" w:hAnsi="Times New Roman" w:cs="Times New Roman"/>
          <w:sz w:val="24"/>
          <w:szCs w:val="24"/>
        </w:rPr>
        <w:t>representa a estrut</w:t>
      </w:r>
      <w:r w:rsidR="00063962" w:rsidRPr="00141C43">
        <w:rPr>
          <w:rFonts w:ascii="Times New Roman" w:hAnsi="Times New Roman" w:cs="Times New Roman"/>
          <w:sz w:val="24"/>
          <w:szCs w:val="24"/>
        </w:rPr>
        <w:t>ura d</w:t>
      </w:r>
      <w:r w:rsidR="00860ED6" w:rsidRPr="00141C43">
        <w:rPr>
          <w:rFonts w:ascii="Times New Roman" w:hAnsi="Times New Roman" w:cs="Times New Roman"/>
          <w:sz w:val="24"/>
          <w:szCs w:val="24"/>
        </w:rPr>
        <w:t xml:space="preserve">as </w:t>
      </w:r>
      <w:r w:rsidRPr="00141C43">
        <w:rPr>
          <w:rFonts w:ascii="Times New Roman" w:hAnsi="Times New Roman" w:cs="Times New Roman"/>
          <w:sz w:val="24"/>
          <w:szCs w:val="24"/>
        </w:rPr>
        <w:t>normas atuais em vigor:</w:t>
      </w:r>
    </w:p>
    <w:p w14:paraId="3494CFD7" w14:textId="630F44EB" w:rsidR="00855A32" w:rsidRPr="00141C43" w:rsidRDefault="00855A32" w:rsidP="00855A32">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Tabela 1</w:t>
      </w:r>
    </w:p>
    <w:p w14:paraId="4BF64325" w14:textId="77777777" w:rsidR="00770F41" w:rsidRPr="00141C43" w:rsidRDefault="00770F41" w:rsidP="00855A32">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Comparativo entre IAS39 x IFRS 9</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70"/>
        <w:gridCol w:w="3070"/>
        <w:gridCol w:w="3071"/>
      </w:tblGrid>
      <w:tr w:rsidR="00770F41" w:rsidRPr="00141C43" w14:paraId="624BC569" w14:textId="77777777" w:rsidTr="00855A32">
        <w:tc>
          <w:tcPr>
            <w:tcW w:w="3070" w:type="dxa"/>
          </w:tcPr>
          <w:p w14:paraId="417ACCB1" w14:textId="77777777" w:rsidR="00770F41" w:rsidRPr="00141C43" w:rsidRDefault="00770F41" w:rsidP="003704A7">
            <w:pPr>
              <w:spacing w:before="120" w:after="120" w:line="360" w:lineRule="auto"/>
              <w:jc w:val="center"/>
              <w:rPr>
                <w:rFonts w:ascii="Times New Roman" w:hAnsi="Times New Roman" w:cs="Times New Roman"/>
                <w:b/>
                <w:sz w:val="24"/>
                <w:szCs w:val="24"/>
              </w:rPr>
            </w:pPr>
            <w:r w:rsidRPr="00141C43">
              <w:rPr>
                <w:rFonts w:ascii="Times New Roman" w:hAnsi="Times New Roman" w:cs="Times New Roman"/>
                <w:b/>
                <w:sz w:val="24"/>
                <w:szCs w:val="24"/>
              </w:rPr>
              <w:t>Período</w:t>
            </w:r>
          </w:p>
        </w:tc>
        <w:tc>
          <w:tcPr>
            <w:tcW w:w="3070" w:type="dxa"/>
          </w:tcPr>
          <w:p w14:paraId="1F0B6B82" w14:textId="77777777" w:rsidR="00770F41" w:rsidRPr="00141C43" w:rsidRDefault="00770F41" w:rsidP="003704A7">
            <w:pPr>
              <w:spacing w:before="120" w:after="120" w:line="360" w:lineRule="auto"/>
              <w:jc w:val="center"/>
              <w:rPr>
                <w:rFonts w:ascii="Times New Roman" w:hAnsi="Times New Roman" w:cs="Times New Roman"/>
                <w:b/>
                <w:sz w:val="24"/>
                <w:szCs w:val="24"/>
              </w:rPr>
            </w:pPr>
            <w:r w:rsidRPr="00141C43">
              <w:rPr>
                <w:rFonts w:ascii="Times New Roman" w:hAnsi="Times New Roman" w:cs="Times New Roman"/>
                <w:b/>
                <w:sz w:val="24"/>
                <w:szCs w:val="24"/>
              </w:rPr>
              <w:t>Classificação IAS 39</w:t>
            </w:r>
          </w:p>
        </w:tc>
        <w:tc>
          <w:tcPr>
            <w:tcW w:w="3071" w:type="dxa"/>
          </w:tcPr>
          <w:p w14:paraId="14281F77" w14:textId="77777777" w:rsidR="00770F41" w:rsidRPr="00141C43" w:rsidRDefault="00770F41" w:rsidP="003704A7">
            <w:pPr>
              <w:spacing w:before="120" w:after="120" w:line="360" w:lineRule="auto"/>
              <w:jc w:val="center"/>
              <w:rPr>
                <w:rFonts w:ascii="Times New Roman" w:hAnsi="Times New Roman" w:cs="Times New Roman"/>
                <w:b/>
                <w:sz w:val="24"/>
                <w:szCs w:val="24"/>
              </w:rPr>
            </w:pPr>
            <w:r w:rsidRPr="00141C43">
              <w:rPr>
                <w:rFonts w:ascii="Times New Roman" w:hAnsi="Times New Roman" w:cs="Times New Roman"/>
                <w:b/>
                <w:sz w:val="24"/>
                <w:szCs w:val="24"/>
              </w:rPr>
              <w:t>Classificação IFRS 9</w:t>
            </w:r>
          </w:p>
        </w:tc>
      </w:tr>
      <w:tr w:rsidR="00770F41" w:rsidRPr="00141C43" w14:paraId="7B84C578" w14:textId="77777777" w:rsidTr="00855A32">
        <w:tc>
          <w:tcPr>
            <w:tcW w:w="3070" w:type="dxa"/>
            <w:vAlign w:val="center"/>
          </w:tcPr>
          <w:p w14:paraId="0FE13B4B" w14:textId="77777777" w:rsidR="00770F41" w:rsidRPr="00141C43" w:rsidRDefault="00770F41" w:rsidP="003704A7">
            <w:pPr>
              <w:spacing w:before="120" w:after="120" w:line="360" w:lineRule="auto"/>
              <w:jc w:val="both"/>
              <w:rPr>
                <w:rFonts w:ascii="Times New Roman" w:hAnsi="Times New Roman" w:cs="Times New Roman"/>
                <w:sz w:val="24"/>
                <w:szCs w:val="24"/>
              </w:rPr>
            </w:pPr>
            <w:r w:rsidRPr="00141C43">
              <w:rPr>
                <w:rFonts w:ascii="Times New Roman" w:hAnsi="Times New Roman" w:cs="Times New Roman"/>
                <w:sz w:val="24"/>
                <w:szCs w:val="24"/>
              </w:rPr>
              <w:t>Curto Prazo</w:t>
            </w:r>
          </w:p>
        </w:tc>
        <w:tc>
          <w:tcPr>
            <w:tcW w:w="3070" w:type="dxa"/>
          </w:tcPr>
          <w:p w14:paraId="4EAC602C" w14:textId="77777777" w:rsidR="00770F41" w:rsidRPr="00141C43" w:rsidRDefault="00770F41" w:rsidP="003704A7">
            <w:pPr>
              <w:spacing w:before="120" w:after="120" w:line="360" w:lineRule="auto"/>
              <w:jc w:val="both"/>
              <w:rPr>
                <w:rFonts w:ascii="Times New Roman" w:hAnsi="Times New Roman" w:cs="Times New Roman"/>
                <w:sz w:val="24"/>
                <w:szCs w:val="24"/>
              </w:rPr>
            </w:pPr>
            <w:r w:rsidRPr="00141C43">
              <w:rPr>
                <w:rFonts w:ascii="Times New Roman" w:hAnsi="Times New Roman" w:cs="Times New Roman"/>
                <w:sz w:val="24"/>
                <w:szCs w:val="24"/>
              </w:rPr>
              <w:t>Disponível a valor justo</w:t>
            </w:r>
          </w:p>
        </w:tc>
        <w:tc>
          <w:tcPr>
            <w:tcW w:w="3071" w:type="dxa"/>
            <w:vAlign w:val="center"/>
          </w:tcPr>
          <w:p w14:paraId="45F24D1A" w14:textId="77777777" w:rsidR="00770F41" w:rsidRPr="00141C43" w:rsidRDefault="00770F41" w:rsidP="003704A7">
            <w:pPr>
              <w:spacing w:before="120" w:after="120" w:line="360" w:lineRule="auto"/>
              <w:jc w:val="both"/>
              <w:rPr>
                <w:rFonts w:ascii="Times New Roman" w:hAnsi="Times New Roman" w:cs="Times New Roman"/>
                <w:i/>
                <w:sz w:val="24"/>
                <w:szCs w:val="24"/>
              </w:rPr>
            </w:pPr>
            <w:r w:rsidRPr="00141C43">
              <w:rPr>
                <w:rFonts w:ascii="Times New Roman" w:hAnsi="Times New Roman" w:cs="Times New Roman"/>
                <w:i/>
                <w:sz w:val="24"/>
                <w:szCs w:val="24"/>
              </w:rPr>
              <w:t xml:space="preserve">Fair </w:t>
            </w:r>
            <w:proofErr w:type="spellStart"/>
            <w:r w:rsidRPr="00141C43">
              <w:rPr>
                <w:rFonts w:ascii="Times New Roman" w:hAnsi="Times New Roman" w:cs="Times New Roman"/>
                <w:i/>
                <w:sz w:val="24"/>
                <w:szCs w:val="24"/>
              </w:rPr>
              <w:t>value</w:t>
            </w:r>
            <w:proofErr w:type="spellEnd"/>
            <w:r w:rsidRPr="00141C43">
              <w:rPr>
                <w:rFonts w:ascii="Times New Roman" w:hAnsi="Times New Roman" w:cs="Times New Roman"/>
                <w:i/>
                <w:sz w:val="24"/>
                <w:szCs w:val="24"/>
              </w:rPr>
              <w:t xml:space="preserve"> </w:t>
            </w:r>
            <w:proofErr w:type="spellStart"/>
            <w:r w:rsidRPr="00141C43">
              <w:rPr>
                <w:rFonts w:ascii="Times New Roman" w:hAnsi="Times New Roman" w:cs="Times New Roman"/>
                <w:i/>
                <w:sz w:val="24"/>
                <w:szCs w:val="24"/>
              </w:rPr>
              <w:t>Option</w:t>
            </w:r>
            <w:proofErr w:type="spellEnd"/>
          </w:p>
        </w:tc>
      </w:tr>
      <w:tr w:rsidR="008D531E" w:rsidRPr="00A812CB" w14:paraId="4E950605" w14:textId="77777777" w:rsidTr="00855A32">
        <w:tc>
          <w:tcPr>
            <w:tcW w:w="3070" w:type="dxa"/>
            <w:vMerge w:val="restart"/>
            <w:vAlign w:val="center"/>
          </w:tcPr>
          <w:p w14:paraId="2F98836E" w14:textId="77777777" w:rsidR="008D531E" w:rsidRPr="00141C43" w:rsidRDefault="008D531E" w:rsidP="008D531E">
            <w:pPr>
              <w:spacing w:before="120" w:after="120" w:line="360" w:lineRule="auto"/>
              <w:rPr>
                <w:rFonts w:ascii="Times New Roman" w:hAnsi="Times New Roman" w:cs="Times New Roman"/>
                <w:sz w:val="24"/>
                <w:szCs w:val="24"/>
              </w:rPr>
            </w:pPr>
            <w:r w:rsidRPr="00141C43">
              <w:rPr>
                <w:rFonts w:ascii="Times New Roman" w:hAnsi="Times New Roman" w:cs="Times New Roman"/>
                <w:sz w:val="24"/>
                <w:szCs w:val="24"/>
              </w:rPr>
              <w:t>Longo Prazo</w:t>
            </w:r>
          </w:p>
        </w:tc>
        <w:tc>
          <w:tcPr>
            <w:tcW w:w="3070" w:type="dxa"/>
          </w:tcPr>
          <w:p w14:paraId="08F6F01A" w14:textId="77777777" w:rsidR="008D531E" w:rsidRPr="00141C43" w:rsidRDefault="008D531E" w:rsidP="003704A7">
            <w:pPr>
              <w:spacing w:before="120" w:after="120" w:line="360" w:lineRule="auto"/>
              <w:jc w:val="both"/>
              <w:rPr>
                <w:rFonts w:ascii="Times New Roman" w:hAnsi="Times New Roman" w:cs="Times New Roman"/>
                <w:sz w:val="24"/>
                <w:szCs w:val="24"/>
              </w:rPr>
            </w:pPr>
            <w:r w:rsidRPr="00141C43">
              <w:rPr>
                <w:rFonts w:ascii="Times New Roman" w:hAnsi="Times New Roman" w:cs="Times New Roman"/>
                <w:sz w:val="24"/>
                <w:szCs w:val="24"/>
              </w:rPr>
              <w:t>Empréstimo e Recebíveis</w:t>
            </w:r>
          </w:p>
        </w:tc>
        <w:tc>
          <w:tcPr>
            <w:tcW w:w="3071" w:type="dxa"/>
            <w:vMerge w:val="restart"/>
            <w:vAlign w:val="center"/>
          </w:tcPr>
          <w:p w14:paraId="0465C075" w14:textId="77777777" w:rsidR="008D531E" w:rsidRPr="00141C43" w:rsidRDefault="008D531E" w:rsidP="008D531E">
            <w:pPr>
              <w:spacing w:before="120" w:after="120" w:line="360" w:lineRule="auto"/>
              <w:rPr>
                <w:rFonts w:ascii="Times New Roman" w:hAnsi="Times New Roman" w:cs="Times New Roman"/>
                <w:sz w:val="24"/>
                <w:szCs w:val="24"/>
                <w:lang w:val="en-US"/>
              </w:rPr>
            </w:pPr>
            <w:r w:rsidRPr="00141C43">
              <w:rPr>
                <w:rFonts w:ascii="Times New Roman" w:hAnsi="Times New Roman" w:cs="Times New Roman"/>
                <w:i/>
                <w:sz w:val="24"/>
                <w:szCs w:val="24"/>
                <w:lang w:val="en-US"/>
              </w:rPr>
              <w:t>Fair value – Other Condition Income</w:t>
            </w:r>
          </w:p>
        </w:tc>
      </w:tr>
      <w:tr w:rsidR="008D531E" w:rsidRPr="00141C43" w14:paraId="3668BF10" w14:textId="77777777" w:rsidTr="00855A32">
        <w:tc>
          <w:tcPr>
            <w:tcW w:w="3070" w:type="dxa"/>
            <w:vMerge/>
            <w:vAlign w:val="center"/>
          </w:tcPr>
          <w:p w14:paraId="4614CC87" w14:textId="77777777" w:rsidR="008D531E" w:rsidRPr="00141C43" w:rsidRDefault="008D531E" w:rsidP="008D531E">
            <w:pPr>
              <w:spacing w:before="120" w:after="120" w:line="360" w:lineRule="auto"/>
              <w:rPr>
                <w:rFonts w:ascii="Times New Roman" w:hAnsi="Times New Roman" w:cs="Times New Roman"/>
                <w:sz w:val="24"/>
                <w:szCs w:val="24"/>
                <w:lang w:val="en-US"/>
              </w:rPr>
            </w:pPr>
          </w:p>
        </w:tc>
        <w:tc>
          <w:tcPr>
            <w:tcW w:w="3070" w:type="dxa"/>
          </w:tcPr>
          <w:p w14:paraId="26F7214C" w14:textId="77777777" w:rsidR="008D531E" w:rsidRPr="00141C43" w:rsidRDefault="008D531E" w:rsidP="003704A7">
            <w:pPr>
              <w:spacing w:before="120" w:after="120" w:line="360" w:lineRule="auto"/>
              <w:jc w:val="both"/>
              <w:rPr>
                <w:rFonts w:ascii="Times New Roman" w:hAnsi="Times New Roman" w:cs="Times New Roman"/>
                <w:sz w:val="24"/>
                <w:szCs w:val="24"/>
              </w:rPr>
            </w:pPr>
            <w:r w:rsidRPr="00141C43">
              <w:rPr>
                <w:rFonts w:ascii="Times New Roman" w:hAnsi="Times New Roman" w:cs="Times New Roman"/>
                <w:sz w:val="24"/>
                <w:szCs w:val="24"/>
              </w:rPr>
              <w:t>Disponível para venda</w:t>
            </w:r>
          </w:p>
        </w:tc>
        <w:tc>
          <w:tcPr>
            <w:tcW w:w="3071" w:type="dxa"/>
            <w:vMerge/>
            <w:vAlign w:val="center"/>
          </w:tcPr>
          <w:p w14:paraId="71C53AAC" w14:textId="77777777" w:rsidR="008D531E" w:rsidRPr="00141C43" w:rsidRDefault="008D531E" w:rsidP="003704A7">
            <w:pPr>
              <w:spacing w:before="120" w:after="120" w:line="360" w:lineRule="auto"/>
              <w:jc w:val="both"/>
              <w:rPr>
                <w:rFonts w:ascii="Times New Roman" w:hAnsi="Times New Roman" w:cs="Times New Roman"/>
                <w:i/>
                <w:sz w:val="24"/>
                <w:szCs w:val="24"/>
                <w:lang w:val="en-US"/>
              </w:rPr>
            </w:pPr>
          </w:p>
        </w:tc>
      </w:tr>
      <w:tr w:rsidR="008D531E" w:rsidRPr="00141C43" w14:paraId="51889E64" w14:textId="77777777" w:rsidTr="00855A32">
        <w:tc>
          <w:tcPr>
            <w:tcW w:w="3070" w:type="dxa"/>
            <w:vMerge/>
            <w:vAlign w:val="center"/>
          </w:tcPr>
          <w:p w14:paraId="6B7695E9" w14:textId="77777777" w:rsidR="008D531E" w:rsidRPr="00141C43" w:rsidRDefault="008D531E" w:rsidP="008D531E">
            <w:pPr>
              <w:spacing w:before="120" w:after="120" w:line="360" w:lineRule="auto"/>
              <w:rPr>
                <w:rFonts w:ascii="Times New Roman" w:hAnsi="Times New Roman" w:cs="Times New Roman"/>
                <w:sz w:val="24"/>
                <w:szCs w:val="24"/>
                <w:lang w:val="en-US"/>
              </w:rPr>
            </w:pPr>
          </w:p>
        </w:tc>
        <w:tc>
          <w:tcPr>
            <w:tcW w:w="3070" w:type="dxa"/>
          </w:tcPr>
          <w:p w14:paraId="3F620853" w14:textId="77777777" w:rsidR="008D531E" w:rsidRPr="00141C43" w:rsidRDefault="008D531E" w:rsidP="003704A7">
            <w:pPr>
              <w:spacing w:before="120" w:after="120" w:line="360" w:lineRule="auto"/>
              <w:jc w:val="both"/>
              <w:rPr>
                <w:rFonts w:ascii="Times New Roman" w:hAnsi="Times New Roman" w:cs="Times New Roman"/>
                <w:sz w:val="24"/>
                <w:szCs w:val="24"/>
              </w:rPr>
            </w:pPr>
            <w:r w:rsidRPr="00141C43">
              <w:rPr>
                <w:rFonts w:ascii="Times New Roman" w:hAnsi="Times New Roman" w:cs="Times New Roman"/>
                <w:sz w:val="24"/>
                <w:szCs w:val="24"/>
              </w:rPr>
              <w:t>Mantidos até o vencimento</w:t>
            </w:r>
          </w:p>
        </w:tc>
        <w:tc>
          <w:tcPr>
            <w:tcW w:w="3071" w:type="dxa"/>
            <w:vMerge/>
          </w:tcPr>
          <w:p w14:paraId="2EE63B95" w14:textId="77777777" w:rsidR="008D531E" w:rsidRPr="00141C43" w:rsidRDefault="008D531E" w:rsidP="003704A7">
            <w:pPr>
              <w:spacing w:before="120" w:after="120" w:line="360" w:lineRule="auto"/>
              <w:jc w:val="both"/>
              <w:rPr>
                <w:rFonts w:ascii="Times New Roman" w:hAnsi="Times New Roman" w:cs="Times New Roman"/>
                <w:sz w:val="24"/>
                <w:szCs w:val="24"/>
              </w:rPr>
            </w:pPr>
          </w:p>
        </w:tc>
      </w:tr>
    </w:tbl>
    <w:p w14:paraId="6DAB11D8" w14:textId="77777777" w:rsidR="005269C2" w:rsidRDefault="005269C2" w:rsidP="00770F41">
      <w:pPr>
        <w:spacing w:before="120" w:after="120" w:line="360" w:lineRule="auto"/>
        <w:ind w:firstLine="709"/>
        <w:jc w:val="both"/>
        <w:rPr>
          <w:rFonts w:ascii="Times New Roman" w:hAnsi="Times New Roman" w:cs="Times New Roman"/>
          <w:sz w:val="24"/>
          <w:szCs w:val="24"/>
        </w:rPr>
      </w:pPr>
    </w:p>
    <w:p w14:paraId="5A3CBF84" w14:textId="5516FB14" w:rsidR="00770F41" w:rsidRPr="00141C43" w:rsidRDefault="007326D3" w:rsidP="00770F4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Embora apresentem semelhanças quanto à</w:t>
      </w:r>
      <w:r w:rsidR="00770F41" w:rsidRPr="00141C43">
        <w:rPr>
          <w:rFonts w:ascii="Times New Roman" w:hAnsi="Times New Roman" w:cs="Times New Roman"/>
          <w:sz w:val="24"/>
          <w:szCs w:val="24"/>
        </w:rPr>
        <w:t xml:space="preserve"> metodologia de cálculo, os títulos de longo prazo </w:t>
      </w:r>
      <w:r w:rsidR="00786CD7" w:rsidRPr="00141C43">
        <w:rPr>
          <w:rFonts w:ascii="Times New Roman" w:hAnsi="Times New Roman" w:cs="Times New Roman"/>
          <w:sz w:val="24"/>
          <w:szCs w:val="24"/>
        </w:rPr>
        <w:t>têm</w:t>
      </w:r>
      <w:r w:rsidR="00770F41" w:rsidRPr="00141C43">
        <w:rPr>
          <w:rFonts w:ascii="Times New Roman" w:hAnsi="Times New Roman" w:cs="Times New Roman"/>
          <w:sz w:val="24"/>
          <w:szCs w:val="24"/>
        </w:rPr>
        <w:t xml:space="preserve"> variáveis </w:t>
      </w:r>
      <w:r w:rsidRPr="00141C43">
        <w:rPr>
          <w:rFonts w:ascii="Times New Roman" w:hAnsi="Times New Roman" w:cs="Times New Roman"/>
          <w:sz w:val="24"/>
          <w:szCs w:val="24"/>
        </w:rPr>
        <w:t>que pode</w:t>
      </w:r>
      <w:r w:rsidR="00A5050A" w:rsidRPr="00141C43">
        <w:rPr>
          <w:rFonts w:ascii="Times New Roman" w:hAnsi="Times New Roman" w:cs="Times New Roman"/>
          <w:sz w:val="24"/>
          <w:szCs w:val="24"/>
        </w:rPr>
        <w:t xml:space="preserve">m </w:t>
      </w:r>
      <w:r w:rsidRPr="00141C43">
        <w:rPr>
          <w:rFonts w:ascii="Times New Roman" w:hAnsi="Times New Roman" w:cs="Times New Roman"/>
          <w:sz w:val="24"/>
          <w:szCs w:val="24"/>
        </w:rPr>
        <w:t>afetar</w:t>
      </w:r>
      <w:r w:rsidR="00770F41" w:rsidRPr="00141C43">
        <w:rPr>
          <w:rFonts w:ascii="Times New Roman" w:hAnsi="Times New Roman" w:cs="Times New Roman"/>
          <w:sz w:val="24"/>
          <w:szCs w:val="24"/>
        </w:rPr>
        <w:t xml:space="preserve"> o resultado de reconhecimento e mensuração dos títulos.</w:t>
      </w:r>
    </w:p>
    <w:p w14:paraId="00F444A5" w14:textId="5AE7CE1D" w:rsidR="00720BB7" w:rsidRPr="00141C43" w:rsidRDefault="004A544D"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Após a</w:t>
      </w:r>
      <w:r w:rsidR="00720BB7" w:rsidRPr="00141C43">
        <w:rPr>
          <w:rFonts w:ascii="Times New Roman" w:hAnsi="Times New Roman" w:cs="Times New Roman"/>
          <w:sz w:val="24"/>
          <w:szCs w:val="24"/>
        </w:rPr>
        <w:t xml:space="preserve"> mudança da norm</w:t>
      </w:r>
      <w:r w:rsidR="00860ED6" w:rsidRPr="00141C43">
        <w:rPr>
          <w:rFonts w:ascii="Times New Roman" w:hAnsi="Times New Roman" w:cs="Times New Roman"/>
          <w:sz w:val="24"/>
          <w:szCs w:val="24"/>
        </w:rPr>
        <w:t xml:space="preserve">a, muitas seguradoras e instituições financeiras que utilizam </w:t>
      </w:r>
      <w:r w:rsidR="00C60C0D" w:rsidRPr="00141C43">
        <w:rPr>
          <w:rFonts w:ascii="Times New Roman" w:hAnsi="Times New Roman" w:cs="Times New Roman"/>
          <w:sz w:val="24"/>
          <w:szCs w:val="24"/>
        </w:rPr>
        <w:t>esses instrumentos</w:t>
      </w:r>
      <w:r w:rsidR="00860ED6" w:rsidRPr="00141C43">
        <w:rPr>
          <w:rFonts w:ascii="Times New Roman" w:hAnsi="Times New Roman" w:cs="Times New Roman"/>
          <w:sz w:val="24"/>
          <w:szCs w:val="24"/>
        </w:rPr>
        <w:t xml:space="preserve"> </w:t>
      </w:r>
      <w:r w:rsidRPr="00141C43">
        <w:rPr>
          <w:rFonts w:ascii="Times New Roman" w:hAnsi="Times New Roman" w:cs="Times New Roman"/>
          <w:sz w:val="24"/>
          <w:szCs w:val="24"/>
        </w:rPr>
        <w:t>passaram a se preocupar</w:t>
      </w:r>
      <w:r w:rsidR="00720BB7" w:rsidRPr="00141C43">
        <w:rPr>
          <w:rFonts w:ascii="Times New Roman" w:hAnsi="Times New Roman" w:cs="Times New Roman"/>
          <w:sz w:val="24"/>
          <w:szCs w:val="24"/>
        </w:rPr>
        <w:t xml:space="preserve"> com o efeito </w:t>
      </w:r>
      <w:r w:rsidRPr="00141C43">
        <w:rPr>
          <w:rFonts w:ascii="Times New Roman" w:hAnsi="Times New Roman" w:cs="Times New Roman"/>
          <w:sz w:val="24"/>
          <w:szCs w:val="24"/>
        </w:rPr>
        <w:t>que a</w:t>
      </w:r>
      <w:r w:rsidR="00720BB7" w:rsidRPr="00141C43">
        <w:rPr>
          <w:rFonts w:ascii="Times New Roman" w:hAnsi="Times New Roman" w:cs="Times New Roman"/>
          <w:sz w:val="24"/>
          <w:szCs w:val="24"/>
        </w:rPr>
        <w:t xml:space="preserve"> reclassificação dos </w:t>
      </w:r>
      <w:r w:rsidR="00786CD7" w:rsidRPr="00141C43">
        <w:rPr>
          <w:rFonts w:ascii="Times New Roman" w:hAnsi="Times New Roman" w:cs="Times New Roman"/>
          <w:sz w:val="24"/>
          <w:szCs w:val="24"/>
        </w:rPr>
        <w:t xml:space="preserve">seus </w:t>
      </w:r>
      <w:r w:rsidR="00720BB7" w:rsidRPr="00141C43">
        <w:rPr>
          <w:rFonts w:ascii="Times New Roman" w:hAnsi="Times New Roman" w:cs="Times New Roman"/>
          <w:sz w:val="24"/>
          <w:szCs w:val="24"/>
        </w:rPr>
        <w:t>títulos em carteira</w:t>
      </w:r>
      <w:r w:rsidR="00BC4057" w:rsidRPr="00141C43">
        <w:rPr>
          <w:rFonts w:ascii="Times New Roman" w:hAnsi="Times New Roman" w:cs="Times New Roman"/>
          <w:sz w:val="24"/>
          <w:szCs w:val="24"/>
        </w:rPr>
        <w:t xml:space="preserve"> </w:t>
      </w:r>
      <w:r w:rsidR="00720BB7" w:rsidRPr="00141C43">
        <w:rPr>
          <w:rFonts w:ascii="Times New Roman" w:hAnsi="Times New Roman" w:cs="Times New Roman"/>
          <w:sz w:val="24"/>
          <w:szCs w:val="24"/>
        </w:rPr>
        <w:t xml:space="preserve">poderá </w:t>
      </w:r>
      <w:r w:rsidRPr="00141C43">
        <w:rPr>
          <w:rFonts w:ascii="Times New Roman" w:hAnsi="Times New Roman" w:cs="Times New Roman"/>
          <w:sz w:val="24"/>
          <w:szCs w:val="24"/>
        </w:rPr>
        <w:t>trazer a</w:t>
      </w:r>
      <w:r w:rsidR="00BC4057" w:rsidRPr="00141C43">
        <w:rPr>
          <w:rFonts w:ascii="Times New Roman" w:hAnsi="Times New Roman" w:cs="Times New Roman"/>
          <w:sz w:val="24"/>
          <w:szCs w:val="24"/>
        </w:rPr>
        <w:t xml:space="preserve">o seu </w:t>
      </w:r>
      <w:r w:rsidR="00720BB7" w:rsidRPr="00141C43">
        <w:rPr>
          <w:rFonts w:ascii="Times New Roman" w:hAnsi="Times New Roman" w:cs="Times New Roman"/>
          <w:sz w:val="24"/>
          <w:szCs w:val="24"/>
        </w:rPr>
        <w:t>resultado</w:t>
      </w:r>
      <w:r w:rsidRPr="00141C43">
        <w:rPr>
          <w:rFonts w:ascii="Times New Roman" w:hAnsi="Times New Roman" w:cs="Times New Roman"/>
          <w:sz w:val="24"/>
          <w:szCs w:val="24"/>
        </w:rPr>
        <w:t xml:space="preserve"> e à</w:t>
      </w:r>
      <w:r w:rsidR="00035F63" w:rsidRPr="00141C43">
        <w:rPr>
          <w:rFonts w:ascii="Times New Roman" w:hAnsi="Times New Roman" w:cs="Times New Roman"/>
          <w:sz w:val="24"/>
          <w:szCs w:val="24"/>
        </w:rPr>
        <w:t xml:space="preserve"> sua demonstração financeira</w:t>
      </w:r>
      <w:r w:rsidRPr="00141C43">
        <w:rPr>
          <w:rFonts w:ascii="Times New Roman" w:hAnsi="Times New Roman" w:cs="Times New Roman"/>
          <w:sz w:val="24"/>
          <w:szCs w:val="24"/>
        </w:rPr>
        <w:t>,</w:t>
      </w:r>
      <w:r w:rsidR="00035F63" w:rsidRPr="00141C43">
        <w:rPr>
          <w:rFonts w:ascii="Times New Roman" w:hAnsi="Times New Roman" w:cs="Times New Roman"/>
          <w:sz w:val="24"/>
          <w:szCs w:val="24"/>
        </w:rPr>
        <w:t xml:space="preserve"> devido </w:t>
      </w:r>
      <w:r w:rsidR="00A5050A" w:rsidRPr="00141C43">
        <w:rPr>
          <w:rFonts w:ascii="Times New Roman" w:hAnsi="Times New Roman" w:cs="Times New Roman"/>
          <w:sz w:val="24"/>
          <w:szCs w:val="24"/>
        </w:rPr>
        <w:t>à</w:t>
      </w:r>
      <w:r w:rsidR="00035F63" w:rsidRPr="00141C43">
        <w:rPr>
          <w:rFonts w:ascii="Times New Roman" w:hAnsi="Times New Roman" w:cs="Times New Roman"/>
          <w:sz w:val="24"/>
          <w:szCs w:val="24"/>
        </w:rPr>
        <w:t xml:space="preserve"> marcação a mercado (</w:t>
      </w:r>
      <w:r w:rsidR="00B70CD2" w:rsidRPr="00141C43">
        <w:rPr>
          <w:rFonts w:ascii="Times New Roman" w:hAnsi="Times New Roman" w:cs="Times New Roman"/>
          <w:i/>
          <w:sz w:val="24"/>
          <w:szCs w:val="24"/>
        </w:rPr>
        <w:t>Market-</w:t>
      </w:r>
      <w:proofErr w:type="spellStart"/>
      <w:r w:rsidR="00B70CD2" w:rsidRPr="00141C43">
        <w:rPr>
          <w:rFonts w:ascii="Times New Roman" w:hAnsi="Times New Roman" w:cs="Times New Roman"/>
          <w:i/>
          <w:sz w:val="24"/>
          <w:szCs w:val="24"/>
        </w:rPr>
        <w:t>to</w:t>
      </w:r>
      <w:proofErr w:type="spellEnd"/>
      <w:r w:rsidR="00B70CD2" w:rsidRPr="00141C43">
        <w:rPr>
          <w:rFonts w:ascii="Times New Roman" w:hAnsi="Times New Roman" w:cs="Times New Roman"/>
          <w:i/>
          <w:sz w:val="24"/>
          <w:szCs w:val="24"/>
        </w:rPr>
        <w:t xml:space="preserve">-Market – </w:t>
      </w:r>
      <w:proofErr w:type="spellStart"/>
      <w:r w:rsidR="00B70CD2" w:rsidRPr="00141C43">
        <w:rPr>
          <w:rFonts w:ascii="Times New Roman" w:hAnsi="Times New Roman" w:cs="Times New Roman"/>
          <w:sz w:val="24"/>
          <w:szCs w:val="24"/>
        </w:rPr>
        <w:t>MtM</w:t>
      </w:r>
      <w:proofErr w:type="spellEnd"/>
      <w:r w:rsidR="00035F63" w:rsidRPr="00141C43">
        <w:rPr>
          <w:rFonts w:ascii="Times New Roman" w:hAnsi="Times New Roman" w:cs="Times New Roman"/>
          <w:sz w:val="24"/>
          <w:szCs w:val="24"/>
        </w:rPr>
        <w:t>)</w:t>
      </w:r>
      <w:r w:rsidRPr="00141C43">
        <w:rPr>
          <w:rFonts w:ascii="Times New Roman" w:hAnsi="Times New Roman" w:cs="Times New Roman"/>
          <w:sz w:val="24"/>
          <w:szCs w:val="24"/>
        </w:rPr>
        <w:t>. Isso porque</w:t>
      </w:r>
      <w:r w:rsidR="00720BB7" w:rsidRPr="00141C43">
        <w:rPr>
          <w:rFonts w:ascii="Times New Roman" w:hAnsi="Times New Roman" w:cs="Times New Roman"/>
          <w:sz w:val="24"/>
          <w:szCs w:val="24"/>
        </w:rPr>
        <w:t xml:space="preserve"> os critérios de classificação são definidos pelo valor justo ou custo amortizado, todos sendo marcados a mercado</w:t>
      </w:r>
      <w:r w:rsidRPr="00141C43">
        <w:rPr>
          <w:rFonts w:ascii="Times New Roman" w:hAnsi="Times New Roman" w:cs="Times New Roman"/>
          <w:sz w:val="24"/>
          <w:szCs w:val="24"/>
        </w:rPr>
        <w:t>;</w:t>
      </w:r>
      <w:r w:rsidR="00F80388" w:rsidRPr="00141C43">
        <w:rPr>
          <w:rFonts w:ascii="Times New Roman" w:hAnsi="Times New Roman" w:cs="Times New Roman"/>
          <w:sz w:val="24"/>
          <w:szCs w:val="24"/>
        </w:rPr>
        <w:t xml:space="preserve"> ou seja</w:t>
      </w:r>
      <w:r w:rsidRPr="00141C43">
        <w:rPr>
          <w:rFonts w:ascii="Times New Roman" w:hAnsi="Times New Roman" w:cs="Times New Roman"/>
          <w:sz w:val="24"/>
          <w:szCs w:val="24"/>
        </w:rPr>
        <w:t>, se</w:t>
      </w:r>
      <w:r w:rsidR="00F80388" w:rsidRPr="00141C43">
        <w:rPr>
          <w:rFonts w:ascii="Times New Roman" w:hAnsi="Times New Roman" w:cs="Times New Roman"/>
          <w:sz w:val="24"/>
          <w:szCs w:val="24"/>
        </w:rPr>
        <w:t xml:space="preserve"> colocados a valor justo,</w:t>
      </w:r>
      <w:r w:rsidR="00B70CD2" w:rsidRPr="00141C43">
        <w:rPr>
          <w:rFonts w:ascii="Times New Roman" w:hAnsi="Times New Roman" w:cs="Times New Roman"/>
          <w:sz w:val="24"/>
          <w:szCs w:val="24"/>
        </w:rPr>
        <w:t xml:space="preserve"> afetam o resultado </w:t>
      </w:r>
      <w:r w:rsidR="00F80388" w:rsidRPr="00141C43">
        <w:rPr>
          <w:rFonts w:ascii="Times New Roman" w:hAnsi="Times New Roman" w:cs="Times New Roman"/>
          <w:sz w:val="24"/>
          <w:szCs w:val="24"/>
        </w:rPr>
        <w:t>da demonstração financeira</w:t>
      </w:r>
      <w:r w:rsidRPr="00141C43">
        <w:rPr>
          <w:rFonts w:ascii="Times New Roman" w:hAnsi="Times New Roman" w:cs="Times New Roman"/>
          <w:sz w:val="24"/>
          <w:szCs w:val="24"/>
        </w:rPr>
        <w:t>,</w:t>
      </w:r>
      <w:r w:rsidR="00F80388" w:rsidRPr="00141C43">
        <w:rPr>
          <w:rFonts w:ascii="Times New Roman" w:hAnsi="Times New Roman" w:cs="Times New Roman"/>
          <w:sz w:val="24"/>
          <w:szCs w:val="24"/>
        </w:rPr>
        <w:t xml:space="preserve"> principalmente pela base patrimonial</w:t>
      </w:r>
      <w:r w:rsidRPr="00141C43">
        <w:rPr>
          <w:rFonts w:ascii="Times New Roman" w:hAnsi="Times New Roman" w:cs="Times New Roman"/>
          <w:sz w:val="24"/>
          <w:szCs w:val="24"/>
        </w:rPr>
        <w:t xml:space="preserve">. Dessa forma, dão </w:t>
      </w:r>
      <w:r w:rsidR="00B70CD2" w:rsidRPr="00141C43">
        <w:rPr>
          <w:rFonts w:ascii="Times New Roman" w:hAnsi="Times New Roman" w:cs="Times New Roman"/>
          <w:sz w:val="24"/>
          <w:szCs w:val="24"/>
        </w:rPr>
        <w:t>mais</w:t>
      </w:r>
      <w:r w:rsidR="00720BB7" w:rsidRPr="00141C43">
        <w:rPr>
          <w:rFonts w:ascii="Times New Roman" w:hAnsi="Times New Roman" w:cs="Times New Roman"/>
          <w:sz w:val="24"/>
          <w:szCs w:val="24"/>
        </w:rPr>
        <w:t xml:space="preserve"> transparência </w:t>
      </w:r>
      <w:r w:rsidR="00836E68" w:rsidRPr="00141C43">
        <w:rPr>
          <w:rFonts w:ascii="Times New Roman" w:hAnsi="Times New Roman" w:cs="Times New Roman"/>
          <w:sz w:val="24"/>
          <w:szCs w:val="24"/>
        </w:rPr>
        <w:t>à</w:t>
      </w:r>
      <w:r w:rsidR="00720BB7" w:rsidRPr="00141C43">
        <w:rPr>
          <w:rFonts w:ascii="Times New Roman" w:hAnsi="Times New Roman" w:cs="Times New Roman"/>
          <w:sz w:val="24"/>
          <w:szCs w:val="24"/>
        </w:rPr>
        <w:t xml:space="preserve"> tomada de decisão.</w:t>
      </w:r>
    </w:p>
    <w:p w14:paraId="592B68AC" w14:textId="324BA021" w:rsidR="00196947" w:rsidRPr="00141C43" w:rsidRDefault="00196947"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Esses títulos são </w:t>
      </w:r>
      <w:r w:rsidR="00F80388" w:rsidRPr="00141C43">
        <w:rPr>
          <w:rFonts w:ascii="Times New Roman" w:hAnsi="Times New Roman" w:cs="Times New Roman"/>
          <w:sz w:val="24"/>
          <w:szCs w:val="24"/>
        </w:rPr>
        <w:t>capitalizados</w:t>
      </w:r>
      <w:r w:rsidRPr="00141C43">
        <w:rPr>
          <w:rFonts w:ascii="Times New Roman" w:hAnsi="Times New Roman" w:cs="Times New Roman"/>
          <w:sz w:val="24"/>
          <w:szCs w:val="24"/>
        </w:rPr>
        <w:t xml:space="preserve"> </w:t>
      </w:r>
      <w:r w:rsidR="007B65F3" w:rsidRPr="00141C43">
        <w:rPr>
          <w:rFonts w:ascii="Times New Roman" w:hAnsi="Times New Roman" w:cs="Times New Roman"/>
          <w:sz w:val="24"/>
          <w:szCs w:val="24"/>
        </w:rPr>
        <w:t>por meio de</w:t>
      </w:r>
      <w:r w:rsidRPr="00141C43">
        <w:rPr>
          <w:rFonts w:ascii="Times New Roman" w:hAnsi="Times New Roman" w:cs="Times New Roman"/>
          <w:sz w:val="24"/>
          <w:szCs w:val="24"/>
        </w:rPr>
        <w:t xml:space="preserve"> uma taxa de juros ou indexação para </w:t>
      </w:r>
      <w:r w:rsidR="00B70CD2" w:rsidRPr="00141C43">
        <w:rPr>
          <w:rFonts w:ascii="Times New Roman" w:hAnsi="Times New Roman" w:cs="Times New Roman"/>
          <w:sz w:val="24"/>
          <w:szCs w:val="24"/>
        </w:rPr>
        <w:t xml:space="preserve">rendimento </w:t>
      </w:r>
      <w:r w:rsidRPr="00141C43">
        <w:rPr>
          <w:rFonts w:ascii="Times New Roman" w:hAnsi="Times New Roman" w:cs="Times New Roman"/>
          <w:sz w:val="24"/>
          <w:szCs w:val="24"/>
        </w:rPr>
        <w:t>do título</w:t>
      </w:r>
      <w:r w:rsidR="007B65F3" w:rsidRPr="00141C43">
        <w:rPr>
          <w:rFonts w:ascii="Times New Roman" w:hAnsi="Times New Roman" w:cs="Times New Roman"/>
          <w:sz w:val="24"/>
          <w:szCs w:val="24"/>
        </w:rPr>
        <w:t>, segundo</w:t>
      </w:r>
      <w:r w:rsidRPr="00141C43">
        <w:rPr>
          <w:rFonts w:ascii="Times New Roman" w:hAnsi="Times New Roman" w:cs="Times New Roman"/>
          <w:sz w:val="24"/>
          <w:szCs w:val="24"/>
        </w:rPr>
        <w:t xml:space="preserve"> a mudança econômica do país</w:t>
      </w:r>
      <w:r w:rsidR="007B65F3" w:rsidRPr="00141C43">
        <w:rPr>
          <w:rFonts w:ascii="Times New Roman" w:hAnsi="Times New Roman" w:cs="Times New Roman"/>
          <w:sz w:val="24"/>
          <w:szCs w:val="24"/>
        </w:rPr>
        <w:t>,</w:t>
      </w:r>
      <w:r w:rsidRPr="00141C43">
        <w:rPr>
          <w:rFonts w:ascii="Times New Roman" w:hAnsi="Times New Roman" w:cs="Times New Roman"/>
          <w:sz w:val="24"/>
          <w:szCs w:val="24"/>
        </w:rPr>
        <w:t xml:space="preserve"> ou até mesmo mundialmente.</w:t>
      </w:r>
    </w:p>
    <w:p w14:paraId="2231ACC3" w14:textId="67E05EDE" w:rsidR="001F3DD7" w:rsidRPr="00141C43" w:rsidRDefault="004066F4"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Os critérios </w:t>
      </w:r>
      <w:r w:rsidR="00F80388" w:rsidRPr="00141C43">
        <w:rPr>
          <w:rFonts w:ascii="Times New Roman" w:hAnsi="Times New Roman" w:cs="Times New Roman"/>
          <w:sz w:val="24"/>
          <w:szCs w:val="24"/>
        </w:rPr>
        <w:t xml:space="preserve">de classificação </w:t>
      </w:r>
      <w:r w:rsidRPr="00141C43">
        <w:rPr>
          <w:rFonts w:ascii="Times New Roman" w:hAnsi="Times New Roman" w:cs="Times New Roman"/>
          <w:sz w:val="24"/>
          <w:szCs w:val="24"/>
        </w:rPr>
        <w:t xml:space="preserve">estabelecidos no momento da compra </w:t>
      </w:r>
      <w:r w:rsidR="00F80388" w:rsidRPr="00141C43">
        <w:rPr>
          <w:rFonts w:ascii="Times New Roman" w:hAnsi="Times New Roman" w:cs="Times New Roman"/>
          <w:sz w:val="24"/>
          <w:szCs w:val="24"/>
        </w:rPr>
        <w:t>do instrumento financeiro são</w:t>
      </w:r>
      <w:r w:rsidRPr="00141C43">
        <w:rPr>
          <w:rFonts w:ascii="Times New Roman" w:hAnsi="Times New Roman" w:cs="Times New Roman"/>
          <w:sz w:val="24"/>
          <w:szCs w:val="24"/>
        </w:rPr>
        <w:t xml:space="preserve"> </w:t>
      </w:r>
      <w:r w:rsidR="0068272D" w:rsidRPr="00141C43">
        <w:rPr>
          <w:rFonts w:ascii="Times New Roman" w:hAnsi="Times New Roman" w:cs="Times New Roman"/>
          <w:sz w:val="24"/>
          <w:szCs w:val="24"/>
        </w:rPr>
        <w:t>classificações contábeis</w:t>
      </w:r>
      <w:r w:rsidR="00846BDA" w:rsidRPr="00141C43">
        <w:rPr>
          <w:rFonts w:ascii="Times New Roman" w:hAnsi="Times New Roman" w:cs="Times New Roman"/>
          <w:sz w:val="24"/>
          <w:szCs w:val="24"/>
        </w:rPr>
        <w:t xml:space="preserve"> necessárias, para ser </w:t>
      </w:r>
      <w:r w:rsidRPr="00141C43">
        <w:rPr>
          <w:rFonts w:ascii="Times New Roman" w:hAnsi="Times New Roman" w:cs="Times New Roman"/>
          <w:sz w:val="24"/>
          <w:szCs w:val="24"/>
        </w:rPr>
        <w:t>registrad</w:t>
      </w:r>
      <w:r w:rsidR="00846BDA" w:rsidRPr="00141C43">
        <w:rPr>
          <w:rFonts w:ascii="Times New Roman" w:hAnsi="Times New Roman" w:cs="Times New Roman"/>
          <w:sz w:val="24"/>
          <w:szCs w:val="24"/>
        </w:rPr>
        <w:t>a</w:t>
      </w:r>
      <w:r w:rsidRPr="00141C43">
        <w:rPr>
          <w:rFonts w:ascii="Times New Roman" w:hAnsi="Times New Roman" w:cs="Times New Roman"/>
          <w:sz w:val="24"/>
          <w:szCs w:val="24"/>
        </w:rPr>
        <w:t>s</w:t>
      </w:r>
      <w:r w:rsidR="00846BDA" w:rsidRPr="00141C43">
        <w:rPr>
          <w:rFonts w:ascii="Times New Roman" w:hAnsi="Times New Roman" w:cs="Times New Roman"/>
          <w:sz w:val="24"/>
          <w:szCs w:val="24"/>
        </w:rPr>
        <w:t>,</w:t>
      </w:r>
      <w:r w:rsidRPr="00141C43">
        <w:rPr>
          <w:rFonts w:ascii="Times New Roman" w:hAnsi="Times New Roman" w:cs="Times New Roman"/>
          <w:sz w:val="24"/>
          <w:szCs w:val="24"/>
        </w:rPr>
        <w:t xml:space="preserve"> </w:t>
      </w:r>
      <w:r w:rsidR="00F80388" w:rsidRPr="00141C43">
        <w:rPr>
          <w:rFonts w:ascii="Times New Roman" w:hAnsi="Times New Roman" w:cs="Times New Roman"/>
          <w:sz w:val="24"/>
          <w:szCs w:val="24"/>
        </w:rPr>
        <w:t>escriturad</w:t>
      </w:r>
      <w:r w:rsidR="00846BDA" w:rsidRPr="00141C43">
        <w:rPr>
          <w:rFonts w:ascii="Times New Roman" w:hAnsi="Times New Roman" w:cs="Times New Roman"/>
          <w:sz w:val="24"/>
          <w:szCs w:val="24"/>
        </w:rPr>
        <w:t>a</w:t>
      </w:r>
      <w:r w:rsidR="00F80388" w:rsidRPr="00141C43">
        <w:rPr>
          <w:rFonts w:ascii="Times New Roman" w:hAnsi="Times New Roman" w:cs="Times New Roman"/>
          <w:sz w:val="24"/>
          <w:szCs w:val="24"/>
        </w:rPr>
        <w:t>s</w:t>
      </w:r>
      <w:r w:rsidR="009150D6" w:rsidRPr="00141C43">
        <w:rPr>
          <w:rFonts w:ascii="Times New Roman" w:hAnsi="Times New Roman" w:cs="Times New Roman"/>
          <w:sz w:val="24"/>
          <w:szCs w:val="24"/>
        </w:rPr>
        <w:t xml:space="preserve"> </w:t>
      </w:r>
      <w:r w:rsidR="00846BDA" w:rsidRPr="00141C43">
        <w:rPr>
          <w:rFonts w:ascii="Times New Roman" w:hAnsi="Times New Roman" w:cs="Times New Roman"/>
          <w:sz w:val="24"/>
          <w:szCs w:val="24"/>
        </w:rPr>
        <w:t xml:space="preserve">e </w:t>
      </w:r>
      <w:r w:rsidR="00F80388" w:rsidRPr="00141C43">
        <w:rPr>
          <w:rFonts w:ascii="Times New Roman" w:hAnsi="Times New Roman" w:cs="Times New Roman"/>
          <w:sz w:val="24"/>
          <w:szCs w:val="24"/>
        </w:rPr>
        <w:t>apresentad</w:t>
      </w:r>
      <w:r w:rsidR="00846BDA" w:rsidRPr="00141C43">
        <w:rPr>
          <w:rFonts w:ascii="Times New Roman" w:hAnsi="Times New Roman" w:cs="Times New Roman"/>
          <w:sz w:val="24"/>
          <w:szCs w:val="24"/>
        </w:rPr>
        <w:t>a</w:t>
      </w:r>
      <w:r w:rsidR="00F80388" w:rsidRPr="00141C43">
        <w:rPr>
          <w:rFonts w:ascii="Times New Roman" w:hAnsi="Times New Roman" w:cs="Times New Roman"/>
          <w:sz w:val="24"/>
          <w:szCs w:val="24"/>
        </w:rPr>
        <w:t>s</w:t>
      </w:r>
      <w:r w:rsidRPr="00141C43">
        <w:rPr>
          <w:rFonts w:ascii="Times New Roman" w:hAnsi="Times New Roman" w:cs="Times New Roman"/>
          <w:sz w:val="24"/>
          <w:szCs w:val="24"/>
        </w:rPr>
        <w:t xml:space="preserve"> </w:t>
      </w:r>
      <w:r w:rsidR="00846BDA" w:rsidRPr="00141C43">
        <w:rPr>
          <w:rFonts w:ascii="Times New Roman" w:hAnsi="Times New Roman" w:cs="Times New Roman"/>
          <w:sz w:val="24"/>
          <w:szCs w:val="24"/>
        </w:rPr>
        <w:t>n</w:t>
      </w:r>
      <w:r w:rsidRPr="00141C43">
        <w:rPr>
          <w:rFonts w:ascii="Times New Roman" w:hAnsi="Times New Roman" w:cs="Times New Roman"/>
          <w:sz w:val="24"/>
          <w:szCs w:val="24"/>
        </w:rPr>
        <w:t>as demonstrações financeiras</w:t>
      </w:r>
      <w:r w:rsidR="009150D6" w:rsidRPr="00141C43">
        <w:rPr>
          <w:rFonts w:ascii="Times New Roman" w:hAnsi="Times New Roman" w:cs="Times New Roman"/>
          <w:sz w:val="24"/>
          <w:szCs w:val="24"/>
        </w:rPr>
        <w:t xml:space="preserve"> e </w:t>
      </w:r>
      <w:r w:rsidR="00846BDA" w:rsidRPr="00141C43">
        <w:rPr>
          <w:rFonts w:ascii="Times New Roman" w:hAnsi="Times New Roman" w:cs="Times New Roman"/>
          <w:sz w:val="24"/>
          <w:szCs w:val="24"/>
        </w:rPr>
        <w:t xml:space="preserve">em </w:t>
      </w:r>
      <w:r w:rsidR="009150D6" w:rsidRPr="00141C43">
        <w:rPr>
          <w:rFonts w:ascii="Times New Roman" w:hAnsi="Times New Roman" w:cs="Times New Roman"/>
          <w:sz w:val="24"/>
          <w:szCs w:val="24"/>
        </w:rPr>
        <w:t>suas notas explicativas</w:t>
      </w:r>
      <w:r w:rsidR="00A812CB">
        <w:rPr>
          <w:rFonts w:ascii="Times New Roman" w:hAnsi="Times New Roman" w:cs="Times New Roman"/>
          <w:sz w:val="24"/>
          <w:szCs w:val="24"/>
        </w:rPr>
        <w:t xml:space="preserve"> (</w:t>
      </w:r>
      <w:r w:rsidR="005269C2">
        <w:rPr>
          <w:rFonts w:ascii="Times New Roman" w:hAnsi="Times New Roman" w:cs="Times New Roman"/>
          <w:sz w:val="24"/>
          <w:szCs w:val="24"/>
        </w:rPr>
        <w:t>IAS 39</w:t>
      </w:r>
      <w:r w:rsidR="00A812CB">
        <w:rPr>
          <w:rFonts w:ascii="Times New Roman" w:hAnsi="Times New Roman" w:cs="Times New Roman"/>
          <w:sz w:val="24"/>
          <w:szCs w:val="24"/>
        </w:rPr>
        <w:t>, 2015)</w:t>
      </w:r>
      <w:r w:rsidR="007578E6" w:rsidRPr="00141C43">
        <w:rPr>
          <w:rFonts w:ascii="Times New Roman" w:hAnsi="Times New Roman" w:cs="Times New Roman"/>
          <w:sz w:val="24"/>
          <w:szCs w:val="24"/>
        </w:rPr>
        <w:t>.</w:t>
      </w:r>
      <w:r w:rsidRPr="00141C43">
        <w:rPr>
          <w:rFonts w:ascii="Times New Roman" w:hAnsi="Times New Roman" w:cs="Times New Roman"/>
          <w:sz w:val="24"/>
          <w:szCs w:val="24"/>
        </w:rPr>
        <w:t xml:space="preserve"> </w:t>
      </w:r>
      <w:r w:rsidR="007578E6" w:rsidRPr="00141C43">
        <w:rPr>
          <w:rFonts w:ascii="Times New Roman" w:hAnsi="Times New Roman" w:cs="Times New Roman"/>
          <w:sz w:val="24"/>
          <w:szCs w:val="24"/>
        </w:rPr>
        <w:t>C</w:t>
      </w:r>
      <w:r w:rsidR="00FC1E7A" w:rsidRPr="00141C43">
        <w:rPr>
          <w:rFonts w:ascii="Times New Roman" w:hAnsi="Times New Roman" w:cs="Times New Roman"/>
          <w:sz w:val="24"/>
          <w:szCs w:val="24"/>
        </w:rPr>
        <w:t>om este estudo</w:t>
      </w:r>
      <w:r w:rsidR="00846BDA" w:rsidRPr="00141C43">
        <w:rPr>
          <w:rFonts w:ascii="Times New Roman" w:hAnsi="Times New Roman" w:cs="Times New Roman"/>
          <w:sz w:val="24"/>
          <w:szCs w:val="24"/>
        </w:rPr>
        <w:t>, buscou-se analisar o ef</w:t>
      </w:r>
      <w:r w:rsidR="00FC1E7A" w:rsidRPr="00141C43">
        <w:rPr>
          <w:rFonts w:ascii="Times New Roman" w:hAnsi="Times New Roman" w:cs="Times New Roman"/>
          <w:sz w:val="24"/>
          <w:szCs w:val="24"/>
        </w:rPr>
        <w:t>eito da reclassificação dos títulos nas demonstrações contábeis das instituições financeiras</w:t>
      </w:r>
      <w:r w:rsidR="00846BDA" w:rsidRPr="00141C43">
        <w:rPr>
          <w:rFonts w:ascii="Times New Roman" w:hAnsi="Times New Roman" w:cs="Times New Roman"/>
          <w:sz w:val="24"/>
          <w:szCs w:val="24"/>
        </w:rPr>
        <w:t>, com a</w:t>
      </w:r>
      <w:r w:rsidR="00FC1E7A" w:rsidRPr="00141C43">
        <w:rPr>
          <w:rFonts w:ascii="Times New Roman" w:hAnsi="Times New Roman" w:cs="Times New Roman"/>
          <w:sz w:val="24"/>
          <w:szCs w:val="24"/>
        </w:rPr>
        <w:t xml:space="preserve"> seguinte </w:t>
      </w:r>
      <w:r w:rsidR="007578E6" w:rsidRPr="00141C43">
        <w:rPr>
          <w:rFonts w:ascii="Times New Roman" w:hAnsi="Times New Roman" w:cs="Times New Roman"/>
          <w:sz w:val="24"/>
          <w:szCs w:val="24"/>
        </w:rPr>
        <w:t>questão abordada</w:t>
      </w:r>
      <w:r w:rsidR="00FC1E7A" w:rsidRPr="00141C43">
        <w:rPr>
          <w:rFonts w:ascii="Times New Roman" w:hAnsi="Times New Roman" w:cs="Times New Roman"/>
          <w:sz w:val="24"/>
          <w:szCs w:val="24"/>
        </w:rPr>
        <w:t xml:space="preserve">: </w:t>
      </w:r>
    </w:p>
    <w:p w14:paraId="66BD7653" w14:textId="53EA36E4" w:rsidR="0046300B" w:rsidRPr="00141C43" w:rsidRDefault="00FC1E7A"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Qual </w:t>
      </w:r>
      <w:r w:rsidR="009150D6" w:rsidRPr="00141C43">
        <w:rPr>
          <w:rFonts w:ascii="Times New Roman" w:hAnsi="Times New Roman" w:cs="Times New Roman"/>
          <w:sz w:val="24"/>
          <w:szCs w:val="24"/>
        </w:rPr>
        <w:t xml:space="preserve">é </w:t>
      </w:r>
      <w:r w:rsidRPr="00141C43">
        <w:rPr>
          <w:rFonts w:ascii="Times New Roman" w:hAnsi="Times New Roman" w:cs="Times New Roman"/>
          <w:sz w:val="24"/>
          <w:szCs w:val="24"/>
        </w:rPr>
        <w:t xml:space="preserve">o </w:t>
      </w:r>
      <w:r w:rsidR="0068272D" w:rsidRPr="00141C43">
        <w:rPr>
          <w:rFonts w:ascii="Times New Roman" w:hAnsi="Times New Roman" w:cs="Times New Roman"/>
          <w:sz w:val="24"/>
          <w:szCs w:val="24"/>
        </w:rPr>
        <w:t>impact</w:t>
      </w:r>
      <w:r w:rsidR="009150D6" w:rsidRPr="00141C43">
        <w:rPr>
          <w:rFonts w:ascii="Times New Roman" w:hAnsi="Times New Roman" w:cs="Times New Roman"/>
          <w:sz w:val="24"/>
          <w:szCs w:val="24"/>
        </w:rPr>
        <w:t>o da reclassificação</w:t>
      </w:r>
      <w:r w:rsidRPr="00141C43">
        <w:rPr>
          <w:rFonts w:ascii="Times New Roman" w:hAnsi="Times New Roman" w:cs="Times New Roman"/>
          <w:sz w:val="24"/>
          <w:szCs w:val="24"/>
        </w:rPr>
        <w:t xml:space="preserve"> </w:t>
      </w:r>
      <w:r w:rsidR="009150D6" w:rsidRPr="00141C43">
        <w:rPr>
          <w:rFonts w:ascii="Times New Roman" w:hAnsi="Times New Roman" w:cs="Times New Roman"/>
          <w:sz w:val="24"/>
          <w:szCs w:val="24"/>
        </w:rPr>
        <w:t xml:space="preserve">do instrumento financeiro na demonstração financeira </w:t>
      </w:r>
      <w:r w:rsidR="00BC4057" w:rsidRPr="00141C43">
        <w:rPr>
          <w:rFonts w:ascii="Times New Roman" w:hAnsi="Times New Roman" w:cs="Times New Roman"/>
          <w:sz w:val="24"/>
          <w:szCs w:val="24"/>
        </w:rPr>
        <w:t>da</w:t>
      </w:r>
      <w:r w:rsidR="003141EF" w:rsidRPr="00141C43">
        <w:rPr>
          <w:rFonts w:ascii="Times New Roman" w:hAnsi="Times New Roman" w:cs="Times New Roman"/>
          <w:sz w:val="24"/>
          <w:szCs w:val="24"/>
        </w:rPr>
        <w:t>s</w:t>
      </w:r>
      <w:r w:rsidR="00BC4057" w:rsidRPr="00141C43">
        <w:rPr>
          <w:rFonts w:ascii="Times New Roman" w:hAnsi="Times New Roman" w:cs="Times New Roman"/>
          <w:sz w:val="24"/>
          <w:szCs w:val="24"/>
        </w:rPr>
        <w:t xml:space="preserve"> </w:t>
      </w:r>
      <w:r w:rsidR="007B548F">
        <w:rPr>
          <w:rFonts w:ascii="Times New Roman" w:hAnsi="Times New Roman" w:cs="Times New Roman"/>
          <w:sz w:val="24"/>
          <w:szCs w:val="24"/>
        </w:rPr>
        <w:t xml:space="preserve">5 </w:t>
      </w:r>
      <w:r w:rsidR="00BC4057" w:rsidRPr="00141C43">
        <w:rPr>
          <w:rFonts w:ascii="Times New Roman" w:hAnsi="Times New Roman" w:cs="Times New Roman"/>
          <w:sz w:val="24"/>
          <w:szCs w:val="24"/>
        </w:rPr>
        <w:t>maiores seguradoras brasileiras</w:t>
      </w:r>
      <w:r w:rsidR="00846BDA" w:rsidRPr="00141C43">
        <w:rPr>
          <w:rFonts w:ascii="Times New Roman" w:hAnsi="Times New Roman" w:cs="Times New Roman"/>
          <w:sz w:val="24"/>
          <w:szCs w:val="24"/>
        </w:rPr>
        <w:t>,</w:t>
      </w:r>
      <w:r w:rsidR="00BC4057" w:rsidRPr="00141C43">
        <w:rPr>
          <w:rFonts w:ascii="Times New Roman" w:hAnsi="Times New Roman" w:cs="Times New Roman"/>
          <w:sz w:val="24"/>
          <w:szCs w:val="24"/>
        </w:rPr>
        <w:t xml:space="preserve"> </w:t>
      </w:r>
      <w:r w:rsidR="0068272D" w:rsidRPr="00141C43">
        <w:rPr>
          <w:rFonts w:ascii="Times New Roman" w:hAnsi="Times New Roman" w:cs="Times New Roman"/>
          <w:sz w:val="24"/>
          <w:szCs w:val="24"/>
        </w:rPr>
        <w:t xml:space="preserve">devido </w:t>
      </w:r>
      <w:r w:rsidR="00BC4057" w:rsidRPr="00141C43">
        <w:rPr>
          <w:rFonts w:ascii="Times New Roman" w:hAnsi="Times New Roman" w:cs="Times New Roman"/>
          <w:sz w:val="24"/>
          <w:szCs w:val="24"/>
        </w:rPr>
        <w:t xml:space="preserve">à mudança para a </w:t>
      </w:r>
      <w:r w:rsidR="0068272D" w:rsidRPr="00141C43">
        <w:rPr>
          <w:rFonts w:ascii="Times New Roman" w:hAnsi="Times New Roman" w:cs="Times New Roman"/>
          <w:sz w:val="24"/>
          <w:szCs w:val="24"/>
        </w:rPr>
        <w:t>nova norma</w:t>
      </w:r>
      <w:r w:rsidR="00BC4057" w:rsidRPr="00141C43">
        <w:rPr>
          <w:rFonts w:ascii="Times New Roman" w:hAnsi="Times New Roman" w:cs="Times New Roman"/>
          <w:sz w:val="24"/>
          <w:szCs w:val="24"/>
        </w:rPr>
        <w:t xml:space="preserve"> (IFRS9)</w:t>
      </w:r>
      <w:r w:rsidR="0068272D" w:rsidRPr="00141C43">
        <w:rPr>
          <w:rFonts w:ascii="Times New Roman" w:hAnsi="Times New Roman" w:cs="Times New Roman"/>
          <w:sz w:val="24"/>
          <w:szCs w:val="24"/>
        </w:rPr>
        <w:t xml:space="preserve"> de instrumentos financeiros</w:t>
      </w:r>
      <w:r w:rsidR="00A5050A" w:rsidRPr="00141C43">
        <w:rPr>
          <w:rFonts w:ascii="Times New Roman" w:hAnsi="Times New Roman" w:cs="Times New Roman"/>
          <w:sz w:val="24"/>
          <w:szCs w:val="24"/>
        </w:rPr>
        <w:t>,</w:t>
      </w:r>
      <w:r w:rsidR="0068272D" w:rsidRPr="00141C43">
        <w:rPr>
          <w:rFonts w:ascii="Times New Roman" w:hAnsi="Times New Roman" w:cs="Times New Roman"/>
          <w:sz w:val="24"/>
          <w:szCs w:val="24"/>
        </w:rPr>
        <w:t xml:space="preserve"> para o seu rec</w:t>
      </w:r>
      <w:r w:rsidR="00BC4057" w:rsidRPr="00141C43">
        <w:rPr>
          <w:rFonts w:ascii="Times New Roman" w:hAnsi="Times New Roman" w:cs="Times New Roman"/>
          <w:sz w:val="24"/>
          <w:szCs w:val="24"/>
        </w:rPr>
        <w:t>onhecimento e mensuração</w:t>
      </w:r>
      <w:r w:rsidRPr="00141C43">
        <w:rPr>
          <w:rFonts w:ascii="Times New Roman" w:hAnsi="Times New Roman" w:cs="Times New Roman"/>
          <w:sz w:val="24"/>
          <w:szCs w:val="24"/>
        </w:rPr>
        <w:t xml:space="preserve">? </w:t>
      </w:r>
    </w:p>
    <w:p w14:paraId="0D7144EB" w14:textId="1EE833C6" w:rsidR="001F3DD7" w:rsidRPr="00141C43" w:rsidRDefault="00846BDA" w:rsidP="00C71B97">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Foram utilizadas as</w:t>
      </w:r>
      <w:r w:rsidR="001F3DD7" w:rsidRPr="00141C43">
        <w:rPr>
          <w:rFonts w:ascii="Times New Roman" w:hAnsi="Times New Roman" w:cs="Times New Roman"/>
          <w:sz w:val="24"/>
          <w:szCs w:val="24"/>
        </w:rPr>
        <w:t xml:space="preserve"> publicações disponíveis ao público</w:t>
      </w:r>
      <w:r w:rsidR="00034F9F" w:rsidRPr="00141C43">
        <w:rPr>
          <w:rFonts w:ascii="Times New Roman" w:hAnsi="Times New Roman" w:cs="Times New Roman"/>
          <w:sz w:val="24"/>
          <w:szCs w:val="24"/>
        </w:rPr>
        <w:t xml:space="preserve"> </w:t>
      </w:r>
      <w:r w:rsidR="00836E68" w:rsidRPr="00141C43">
        <w:rPr>
          <w:rFonts w:ascii="Times New Roman" w:hAnsi="Times New Roman" w:cs="Times New Roman"/>
          <w:sz w:val="24"/>
          <w:szCs w:val="24"/>
        </w:rPr>
        <w:t>no</w:t>
      </w:r>
      <w:r w:rsidR="00034F9F" w:rsidRPr="00141C43">
        <w:rPr>
          <w:rFonts w:ascii="Times New Roman" w:hAnsi="Times New Roman" w:cs="Times New Roman"/>
          <w:sz w:val="24"/>
          <w:szCs w:val="24"/>
        </w:rPr>
        <w:t xml:space="preserve"> relacionamento com o investidor – RI</w:t>
      </w:r>
      <w:r w:rsidR="00A5050A" w:rsidRPr="00141C43">
        <w:rPr>
          <w:rFonts w:ascii="Times New Roman" w:hAnsi="Times New Roman" w:cs="Times New Roman"/>
          <w:sz w:val="24"/>
          <w:szCs w:val="24"/>
        </w:rPr>
        <w:t>,</w:t>
      </w:r>
      <w:r w:rsidR="00287F1E" w:rsidRPr="00141C43">
        <w:rPr>
          <w:rFonts w:ascii="Times New Roman" w:hAnsi="Times New Roman" w:cs="Times New Roman"/>
          <w:sz w:val="24"/>
          <w:szCs w:val="24"/>
        </w:rPr>
        <w:t xml:space="preserve"> das </w:t>
      </w:r>
      <w:r w:rsidR="003141EF" w:rsidRPr="00141C43">
        <w:rPr>
          <w:rFonts w:ascii="Times New Roman" w:hAnsi="Times New Roman" w:cs="Times New Roman"/>
          <w:sz w:val="24"/>
          <w:szCs w:val="24"/>
        </w:rPr>
        <w:t>maiores seguradoras brasileiras</w:t>
      </w:r>
      <w:r w:rsidR="00287F1E" w:rsidRPr="00141C43">
        <w:rPr>
          <w:rFonts w:ascii="Times New Roman" w:hAnsi="Times New Roman" w:cs="Times New Roman"/>
          <w:sz w:val="24"/>
          <w:szCs w:val="24"/>
        </w:rPr>
        <w:t xml:space="preserve"> com ações em bolsa</w:t>
      </w:r>
      <w:r w:rsidRPr="00141C43">
        <w:rPr>
          <w:rFonts w:ascii="Times New Roman" w:hAnsi="Times New Roman" w:cs="Times New Roman"/>
          <w:sz w:val="24"/>
          <w:szCs w:val="24"/>
        </w:rPr>
        <w:t>. Isso para demonstrar</w:t>
      </w:r>
      <w:r w:rsidR="001F3DD7" w:rsidRPr="00141C43">
        <w:rPr>
          <w:rFonts w:ascii="Times New Roman" w:hAnsi="Times New Roman" w:cs="Times New Roman"/>
          <w:sz w:val="24"/>
          <w:szCs w:val="24"/>
        </w:rPr>
        <w:t xml:space="preserve"> como é apresentad</w:t>
      </w:r>
      <w:r w:rsidR="00A5050A" w:rsidRPr="00141C43">
        <w:rPr>
          <w:rFonts w:ascii="Times New Roman" w:hAnsi="Times New Roman" w:cs="Times New Roman"/>
          <w:sz w:val="24"/>
          <w:szCs w:val="24"/>
        </w:rPr>
        <w:t>a</w:t>
      </w:r>
      <w:r w:rsidR="001F3DD7" w:rsidRPr="00141C43">
        <w:rPr>
          <w:rFonts w:ascii="Times New Roman" w:hAnsi="Times New Roman" w:cs="Times New Roman"/>
          <w:sz w:val="24"/>
          <w:szCs w:val="24"/>
        </w:rPr>
        <w:t xml:space="preserve"> ao usuário externo a política contábil estabelecida pela </w:t>
      </w:r>
      <w:r w:rsidR="003141EF" w:rsidRPr="00141C43">
        <w:rPr>
          <w:rFonts w:ascii="Times New Roman" w:hAnsi="Times New Roman" w:cs="Times New Roman"/>
          <w:sz w:val="24"/>
          <w:szCs w:val="24"/>
        </w:rPr>
        <w:t>seguradora</w:t>
      </w:r>
      <w:r w:rsidR="00380706">
        <w:rPr>
          <w:rFonts w:ascii="Times New Roman" w:hAnsi="Times New Roman" w:cs="Times New Roman"/>
          <w:sz w:val="24"/>
          <w:szCs w:val="24"/>
        </w:rPr>
        <w:t>, conforme a circular 3.068/01 do Banco central do Brasil – Bacen.</w:t>
      </w:r>
    </w:p>
    <w:p w14:paraId="6E11E37F" w14:textId="0255D8AB" w:rsidR="00365DEF" w:rsidRPr="00141C43" w:rsidRDefault="00DF1E35" w:rsidP="00062028">
      <w:pPr>
        <w:spacing w:before="120" w:after="120" w:line="360" w:lineRule="auto"/>
        <w:ind w:firstLine="851"/>
        <w:jc w:val="both"/>
        <w:rPr>
          <w:rFonts w:ascii="Times New Roman" w:hAnsi="Times New Roman" w:cs="Times New Roman"/>
          <w:sz w:val="24"/>
          <w:szCs w:val="24"/>
        </w:rPr>
      </w:pPr>
      <w:bookmarkStart w:id="2" w:name="_Toc444801507"/>
      <w:r>
        <w:rPr>
          <w:rFonts w:ascii="Times New Roman" w:hAnsi="Times New Roman" w:cs="Times New Roman"/>
          <w:sz w:val="24"/>
          <w:szCs w:val="24"/>
        </w:rPr>
        <w:t>Como objetivo foi i</w:t>
      </w:r>
      <w:r w:rsidR="007578E6" w:rsidRPr="00141C43">
        <w:rPr>
          <w:rFonts w:ascii="Times New Roman" w:hAnsi="Times New Roman" w:cs="Times New Roman"/>
          <w:sz w:val="24"/>
          <w:szCs w:val="24"/>
        </w:rPr>
        <w:t>dentificar</w:t>
      </w:r>
      <w:r w:rsidR="00365DEF" w:rsidRPr="00141C43">
        <w:rPr>
          <w:rFonts w:ascii="Times New Roman" w:hAnsi="Times New Roman" w:cs="Times New Roman"/>
          <w:sz w:val="24"/>
          <w:szCs w:val="24"/>
        </w:rPr>
        <w:t xml:space="preserve"> e analisar os </w:t>
      </w:r>
      <w:r w:rsidR="007578E6" w:rsidRPr="00141C43">
        <w:rPr>
          <w:rFonts w:ascii="Times New Roman" w:hAnsi="Times New Roman" w:cs="Times New Roman"/>
          <w:sz w:val="24"/>
          <w:szCs w:val="24"/>
        </w:rPr>
        <w:t>efeitos</w:t>
      </w:r>
      <w:r w:rsidR="006B5438" w:rsidRPr="00141C43">
        <w:rPr>
          <w:rFonts w:ascii="Times New Roman" w:hAnsi="Times New Roman" w:cs="Times New Roman"/>
          <w:sz w:val="24"/>
          <w:szCs w:val="24"/>
        </w:rPr>
        <w:t xml:space="preserve"> causados </w:t>
      </w:r>
      <w:r w:rsidR="007E5195" w:rsidRPr="00141C43">
        <w:rPr>
          <w:rFonts w:ascii="Times New Roman" w:hAnsi="Times New Roman" w:cs="Times New Roman"/>
          <w:sz w:val="24"/>
          <w:szCs w:val="24"/>
        </w:rPr>
        <w:t>nas</w:t>
      </w:r>
      <w:r w:rsidR="006B5438" w:rsidRPr="00141C43">
        <w:rPr>
          <w:rFonts w:ascii="Times New Roman" w:hAnsi="Times New Roman" w:cs="Times New Roman"/>
          <w:sz w:val="24"/>
          <w:szCs w:val="24"/>
        </w:rPr>
        <w:t xml:space="preserve"> demonstrações financeiras </w:t>
      </w:r>
      <w:r w:rsidR="00602559">
        <w:rPr>
          <w:rFonts w:ascii="Times New Roman" w:hAnsi="Times New Roman" w:cs="Times New Roman"/>
          <w:sz w:val="24"/>
          <w:szCs w:val="24"/>
        </w:rPr>
        <w:t>com a</w:t>
      </w:r>
      <w:r w:rsidR="006B5438" w:rsidRPr="00141C43">
        <w:rPr>
          <w:rFonts w:ascii="Times New Roman" w:hAnsi="Times New Roman" w:cs="Times New Roman"/>
          <w:sz w:val="24"/>
          <w:szCs w:val="24"/>
        </w:rPr>
        <w:t xml:space="preserve"> r</w:t>
      </w:r>
      <w:r w:rsidR="00BC5469" w:rsidRPr="00141C43">
        <w:rPr>
          <w:rFonts w:ascii="Times New Roman" w:hAnsi="Times New Roman" w:cs="Times New Roman"/>
          <w:sz w:val="24"/>
          <w:szCs w:val="24"/>
        </w:rPr>
        <w:t xml:space="preserve">eclassificação dos </w:t>
      </w:r>
      <w:r w:rsidR="006B5438" w:rsidRPr="00141C43">
        <w:rPr>
          <w:rFonts w:ascii="Times New Roman" w:hAnsi="Times New Roman" w:cs="Times New Roman"/>
          <w:sz w:val="24"/>
          <w:szCs w:val="24"/>
        </w:rPr>
        <w:t>instrumentos financeiros</w:t>
      </w:r>
      <w:r w:rsidR="004C202E" w:rsidRPr="00141C43">
        <w:rPr>
          <w:rFonts w:ascii="Times New Roman" w:hAnsi="Times New Roman" w:cs="Times New Roman"/>
          <w:sz w:val="24"/>
          <w:szCs w:val="24"/>
        </w:rPr>
        <w:t>,</w:t>
      </w:r>
      <w:r w:rsidR="006B5438" w:rsidRPr="00141C43">
        <w:rPr>
          <w:rFonts w:ascii="Times New Roman" w:hAnsi="Times New Roman" w:cs="Times New Roman"/>
          <w:sz w:val="24"/>
          <w:szCs w:val="24"/>
        </w:rPr>
        <w:t xml:space="preserve"> </w:t>
      </w:r>
      <w:r w:rsidR="004C202E" w:rsidRPr="00141C43">
        <w:rPr>
          <w:rFonts w:ascii="Times New Roman" w:hAnsi="Times New Roman" w:cs="Times New Roman"/>
          <w:sz w:val="24"/>
          <w:szCs w:val="24"/>
        </w:rPr>
        <w:t>devido à</w:t>
      </w:r>
      <w:r w:rsidR="006B5438" w:rsidRPr="00141C43">
        <w:rPr>
          <w:rFonts w:ascii="Times New Roman" w:hAnsi="Times New Roman" w:cs="Times New Roman"/>
          <w:sz w:val="24"/>
          <w:szCs w:val="24"/>
        </w:rPr>
        <w:t xml:space="preserve"> alteração das normas de instrumentos financeiros definidos pelo IFRS 9 nas</w:t>
      </w:r>
      <w:r w:rsidR="00602559">
        <w:rPr>
          <w:rFonts w:ascii="Times New Roman" w:hAnsi="Times New Roman" w:cs="Times New Roman"/>
          <w:sz w:val="24"/>
          <w:szCs w:val="24"/>
        </w:rPr>
        <w:t xml:space="preserve"> cinco</w:t>
      </w:r>
      <w:r w:rsidR="007B548F">
        <w:rPr>
          <w:rFonts w:ascii="Times New Roman" w:hAnsi="Times New Roman" w:cs="Times New Roman"/>
          <w:sz w:val="24"/>
          <w:szCs w:val="24"/>
        </w:rPr>
        <w:t xml:space="preserve"> maiores</w:t>
      </w:r>
      <w:r w:rsidR="006B5438" w:rsidRPr="00141C43">
        <w:rPr>
          <w:rFonts w:ascii="Times New Roman" w:hAnsi="Times New Roman" w:cs="Times New Roman"/>
          <w:sz w:val="24"/>
          <w:szCs w:val="24"/>
        </w:rPr>
        <w:t xml:space="preserve"> </w:t>
      </w:r>
      <w:r w:rsidR="0068458B" w:rsidRPr="00141C43">
        <w:rPr>
          <w:rFonts w:ascii="Times New Roman" w:hAnsi="Times New Roman" w:cs="Times New Roman"/>
          <w:sz w:val="24"/>
          <w:szCs w:val="24"/>
        </w:rPr>
        <w:t>seguradoras</w:t>
      </w:r>
      <w:r w:rsidR="006B5438" w:rsidRPr="00141C43">
        <w:rPr>
          <w:rFonts w:ascii="Times New Roman" w:hAnsi="Times New Roman" w:cs="Times New Roman"/>
          <w:sz w:val="24"/>
          <w:szCs w:val="24"/>
        </w:rPr>
        <w:t xml:space="preserve"> que operam no Brasil</w:t>
      </w:r>
      <w:r w:rsidR="00BC5469" w:rsidRPr="00141C43">
        <w:rPr>
          <w:rFonts w:ascii="Times New Roman" w:hAnsi="Times New Roman" w:cs="Times New Roman"/>
          <w:sz w:val="24"/>
          <w:szCs w:val="24"/>
        </w:rPr>
        <w:t>.</w:t>
      </w:r>
    </w:p>
    <w:bookmarkEnd w:id="2"/>
    <w:p w14:paraId="12E81676" w14:textId="15AF6213" w:rsidR="00340BD0" w:rsidRDefault="009A1003" w:rsidP="00340BD0">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Finalmente, </w:t>
      </w:r>
      <w:r w:rsidR="005413B0" w:rsidRPr="00141C43">
        <w:rPr>
          <w:rFonts w:ascii="Times New Roman" w:hAnsi="Times New Roman" w:cs="Times New Roman"/>
          <w:sz w:val="24"/>
          <w:szCs w:val="24"/>
        </w:rPr>
        <w:t>este</w:t>
      </w:r>
      <w:r w:rsidRPr="00141C43">
        <w:rPr>
          <w:rFonts w:ascii="Times New Roman" w:hAnsi="Times New Roman" w:cs="Times New Roman"/>
          <w:sz w:val="24"/>
          <w:szCs w:val="24"/>
        </w:rPr>
        <w:t xml:space="preserve"> estudo contribui para o debate sobre o reconhecimento e </w:t>
      </w:r>
      <w:r w:rsidR="005413B0" w:rsidRPr="00141C43">
        <w:rPr>
          <w:rFonts w:ascii="Times New Roman" w:hAnsi="Times New Roman" w:cs="Times New Roman"/>
          <w:sz w:val="24"/>
          <w:szCs w:val="24"/>
        </w:rPr>
        <w:t xml:space="preserve">a </w:t>
      </w:r>
      <w:r w:rsidRPr="00141C43">
        <w:rPr>
          <w:rFonts w:ascii="Times New Roman" w:hAnsi="Times New Roman" w:cs="Times New Roman"/>
          <w:sz w:val="24"/>
          <w:szCs w:val="24"/>
        </w:rPr>
        <w:t>mensuração do instrumento financeiro ao valor justo</w:t>
      </w:r>
      <w:r w:rsidR="005413B0" w:rsidRPr="00141C43">
        <w:rPr>
          <w:rFonts w:ascii="Times New Roman" w:hAnsi="Times New Roman" w:cs="Times New Roman"/>
          <w:sz w:val="24"/>
          <w:szCs w:val="24"/>
        </w:rPr>
        <w:t>,</w:t>
      </w:r>
      <w:r w:rsidRPr="00141C43">
        <w:rPr>
          <w:rFonts w:ascii="Times New Roman" w:hAnsi="Times New Roman" w:cs="Times New Roman"/>
          <w:sz w:val="24"/>
          <w:szCs w:val="24"/>
        </w:rPr>
        <w:t xml:space="preserve"> e o impacto que as </w:t>
      </w:r>
      <w:r w:rsidR="00521C6B" w:rsidRPr="00141C43">
        <w:rPr>
          <w:rFonts w:ascii="Times New Roman" w:hAnsi="Times New Roman" w:cs="Times New Roman"/>
          <w:sz w:val="24"/>
          <w:szCs w:val="24"/>
        </w:rPr>
        <w:t>seguradoras</w:t>
      </w:r>
      <w:r w:rsidRPr="00141C43">
        <w:rPr>
          <w:rFonts w:ascii="Times New Roman" w:hAnsi="Times New Roman" w:cs="Times New Roman"/>
          <w:sz w:val="24"/>
          <w:szCs w:val="24"/>
        </w:rPr>
        <w:t xml:space="preserve"> terão no momento da reclassificação do título</w:t>
      </w:r>
      <w:r w:rsidR="00521C6B" w:rsidRPr="00141C43">
        <w:rPr>
          <w:rFonts w:ascii="Times New Roman" w:hAnsi="Times New Roman" w:cs="Times New Roman"/>
          <w:sz w:val="24"/>
          <w:szCs w:val="24"/>
        </w:rPr>
        <w:t xml:space="preserve"> para a norma do IFRS9</w:t>
      </w:r>
      <w:r w:rsidR="005413B0" w:rsidRPr="00141C43">
        <w:rPr>
          <w:rFonts w:ascii="Times New Roman" w:hAnsi="Times New Roman" w:cs="Times New Roman"/>
          <w:sz w:val="24"/>
          <w:szCs w:val="24"/>
        </w:rPr>
        <w:t>,</w:t>
      </w:r>
      <w:r w:rsidRPr="00141C43">
        <w:rPr>
          <w:rFonts w:ascii="Times New Roman" w:hAnsi="Times New Roman" w:cs="Times New Roman"/>
          <w:sz w:val="24"/>
          <w:szCs w:val="24"/>
        </w:rPr>
        <w:t xml:space="preserve"> apresentando a </w:t>
      </w:r>
      <w:r w:rsidR="003C1E2C" w:rsidRPr="00141C43">
        <w:rPr>
          <w:rFonts w:ascii="Times New Roman" w:hAnsi="Times New Roman" w:cs="Times New Roman"/>
          <w:sz w:val="24"/>
          <w:szCs w:val="24"/>
        </w:rPr>
        <w:t xml:space="preserve">importância </w:t>
      </w:r>
      <w:r w:rsidR="00521C6B" w:rsidRPr="00141C43">
        <w:rPr>
          <w:rFonts w:ascii="Times New Roman" w:hAnsi="Times New Roman" w:cs="Times New Roman"/>
          <w:sz w:val="24"/>
          <w:szCs w:val="24"/>
        </w:rPr>
        <w:t>da transparência da informação contábil</w:t>
      </w:r>
      <w:r w:rsidR="003C1E2C" w:rsidRPr="00141C43">
        <w:rPr>
          <w:rFonts w:ascii="Times New Roman" w:hAnsi="Times New Roman" w:cs="Times New Roman"/>
          <w:sz w:val="24"/>
          <w:szCs w:val="24"/>
        </w:rPr>
        <w:t>.</w:t>
      </w:r>
      <w:bookmarkStart w:id="3" w:name="_Toc469928715"/>
    </w:p>
    <w:p w14:paraId="04523B83" w14:textId="77777777" w:rsidR="00340BD0" w:rsidRDefault="00340BD0" w:rsidP="00340BD0">
      <w:pPr>
        <w:spacing w:before="120" w:after="120" w:line="360" w:lineRule="auto"/>
        <w:ind w:firstLine="709"/>
        <w:jc w:val="both"/>
        <w:rPr>
          <w:rFonts w:ascii="Times New Roman" w:hAnsi="Times New Roman" w:cs="Times New Roman"/>
          <w:color w:val="000000" w:themeColor="text1"/>
          <w:sz w:val="24"/>
          <w:szCs w:val="24"/>
        </w:rPr>
      </w:pPr>
    </w:p>
    <w:p w14:paraId="2632164B" w14:textId="7E580C98" w:rsidR="00852E4F" w:rsidRPr="00141C43" w:rsidRDefault="00A377C0" w:rsidP="00D55EBA">
      <w:pPr>
        <w:pStyle w:val="Ttulo1"/>
        <w:spacing w:before="240" w:after="240" w:line="240" w:lineRule="auto"/>
        <w:jc w:val="both"/>
        <w:rPr>
          <w:rFonts w:ascii="Times New Roman" w:hAnsi="Times New Roman" w:cs="Times New Roman"/>
          <w:sz w:val="24"/>
          <w:szCs w:val="24"/>
        </w:rPr>
      </w:pPr>
      <w:r w:rsidRPr="00141C43">
        <w:rPr>
          <w:rFonts w:ascii="Times New Roman" w:hAnsi="Times New Roman" w:cs="Times New Roman"/>
          <w:color w:val="000000" w:themeColor="text1"/>
          <w:sz w:val="24"/>
          <w:szCs w:val="24"/>
        </w:rPr>
        <w:t>2</w:t>
      </w:r>
      <w:r w:rsidR="00661128" w:rsidRPr="00141C43">
        <w:rPr>
          <w:rFonts w:ascii="Times New Roman" w:hAnsi="Times New Roman" w:cs="Times New Roman"/>
          <w:color w:val="000000" w:themeColor="text1"/>
          <w:sz w:val="24"/>
          <w:szCs w:val="24"/>
        </w:rPr>
        <w:t xml:space="preserve"> – R</w:t>
      </w:r>
      <w:r w:rsidR="003941C4" w:rsidRPr="00141C43">
        <w:rPr>
          <w:rFonts w:ascii="Times New Roman" w:hAnsi="Times New Roman" w:cs="Times New Roman"/>
          <w:color w:val="000000" w:themeColor="text1"/>
          <w:sz w:val="24"/>
          <w:szCs w:val="24"/>
        </w:rPr>
        <w:t>efer</w:t>
      </w:r>
      <w:r w:rsidR="0067664C" w:rsidRPr="00141C43">
        <w:rPr>
          <w:rFonts w:ascii="Times New Roman" w:hAnsi="Times New Roman" w:cs="Times New Roman"/>
          <w:color w:val="000000" w:themeColor="text1"/>
          <w:sz w:val="24"/>
          <w:szCs w:val="24"/>
        </w:rPr>
        <w:t>encial</w:t>
      </w:r>
      <w:r w:rsidR="003941C4" w:rsidRPr="00141C43">
        <w:rPr>
          <w:rFonts w:ascii="Times New Roman" w:hAnsi="Times New Roman" w:cs="Times New Roman"/>
          <w:color w:val="000000" w:themeColor="text1"/>
          <w:sz w:val="24"/>
          <w:szCs w:val="24"/>
        </w:rPr>
        <w:t xml:space="preserve"> </w:t>
      </w:r>
      <w:r w:rsidR="00C4301F" w:rsidRPr="00141C43">
        <w:rPr>
          <w:rFonts w:ascii="Times New Roman" w:hAnsi="Times New Roman" w:cs="Times New Roman"/>
          <w:color w:val="000000" w:themeColor="text1"/>
          <w:sz w:val="24"/>
          <w:szCs w:val="24"/>
        </w:rPr>
        <w:t>T</w:t>
      </w:r>
      <w:r w:rsidR="003941C4" w:rsidRPr="00141C43">
        <w:rPr>
          <w:rFonts w:ascii="Times New Roman" w:hAnsi="Times New Roman" w:cs="Times New Roman"/>
          <w:color w:val="000000" w:themeColor="text1"/>
          <w:sz w:val="24"/>
          <w:szCs w:val="24"/>
        </w:rPr>
        <w:t>eórico</w:t>
      </w:r>
      <w:bookmarkEnd w:id="3"/>
    </w:p>
    <w:p w14:paraId="57A80A13" w14:textId="77777777" w:rsidR="00C4301F" w:rsidRPr="00141C43" w:rsidRDefault="00A377C0" w:rsidP="00D55EBA">
      <w:pPr>
        <w:pStyle w:val="Ttulo2"/>
        <w:spacing w:before="240" w:after="240" w:line="240" w:lineRule="auto"/>
        <w:jc w:val="both"/>
        <w:rPr>
          <w:rFonts w:ascii="Times New Roman" w:hAnsi="Times New Roman" w:cs="Times New Roman"/>
          <w:color w:val="000000" w:themeColor="text1"/>
          <w:sz w:val="24"/>
          <w:szCs w:val="24"/>
        </w:rPr>
      </w:pPr>
      <w:bookmarkStart w:id="4" w:name="_Toc469928716"/>
      <w:r w:rsidRPr="00141C43">
        <w:rPr>
          <w:rFonts w:ascii="Times New Roman" w:hAnsi="Times New Roman" w:cs="Times New Roman"/>
          <w:color w:val="000000" w:themeColor="text1"/>
          <w:sz w:val="24"/>
          <w:szCs w:val="24"/>
        </w:rPr>
        <w:t>2</w:t>
      </w:r>
      <w:r w:rsidR="00C4301F" w:rsidRPr="00141C43">
        <w:rPr>
          <w:rFonts w:ascii="Times New Roman" w:hAnsi="Times New Roman" w:cs="Times New Roman"/>
          <w:color w:val="000000" w:themeColor="text1"/>
          <w:sz w:val="24"/>
          <w:szCs w:val="24"/>
        </w:rPr>
        <w:t xml:space="preserve">.1 – </w:t>
      </w:r>
      <w:r w:rsidR="004156AF" w:rsidRPr="00141C43">
        <w:rPr>
          <w:rFonts w:ascii="Times New Roman" w:hAnsi="Times New Roman" w:cs="Times New Roman"/>
          <w:color w:val="000000" w:themeColor="text1"/>
          <w:sz w:val="24"/>
          <w:szCs w:val="24"/>
        </w:rPr>
        <w:t>Instrumentos</w:t>
      </w:r>
      <w:r w:rsidR="004F0414" w:rsidRPr="00141C43">
        <w:rPr>
          <w:rFonts w:ascii="Times New Roman" w:hAnsi="Times New Roman" w:cs="Times New Roman"/>
          <w:color w:val="000000" w:themeColor="text1"/>
          <w:sz w:val="24"/>
          <w:szCs w:val="24"/>
        </w:rPr>
        <w:t xml:space="preserve"> financeiros</w:t>
      </w:r>
      <w:bookmarkEnd w:id="4"/>
      <w:r w:rsidR="004F0414" w:rsidRPr="00141C43">
        <w:rPr>
          <w:rFonts w:ascii="Times New Roman" w:hAnsi="Times New Roman" w:cs="Times New Roman"/>
          <w:color w:val="000000" w:themeColor="text1"/>
          <w:sz w:val="24"/>
          <w:szCs w:val="24"/>
        </w:rPr>
        <w:t xml:space="preserve"> </w:t>
      </w:r>
    </w:p>
    <w:p w14:paraId="649766CC" w14:textId="77777777" w:rsidR="00A171BD" w:rsidRPr="00141C43" w:rsidRDefault="005463FD"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Os </w:t>
      </w:r>
      <w:r w:rsidR="004156AF" w:rsidRPr="00141C43">
        <w:rPr>
          <w:rFonts w:ascii="Times New Roman" w:hAnsi="Times New Roman" w:cs="Times New Roman"/>
          <w:sz w:val="24"/>
          <w:szCs w:val="24"/>
        </w:rPr>
        <w:t>instrumentos</w:t>
      </w:r>
      <w:r w:rsidR="00D70AC8" w:rsidRPr="00141C43">
        <w:rPr>
          <w:rFonts w:ascii="Times New Roman" w:hAnsi="Times New Roman" w:cs="Times New Roman"/>
          <w:sz w:val="24"/>
          <w:szCs w:val="24"/>
        </w:rPr>
        <w:t xml:space="preserve"> financeiros são</w:t>
      </w:r>
      <w:r w:rsidR="00F82054" w:rsidRPr="00141C43">
        <w:rPr>
          <w:rFonts w:ascii="Times New Roman" w:hAnsi="Times New Roman" w:cs="Times New Roman"/>
          <w:sz w:val="24"/>
          <w:szCs w:val="24"/>
        </w:rPr>
        <w:t xml:space="preserve"> títulos</w:t>
      </w:r>
      <w:r w:rsidR="004F0414" w:rsidRPr="00141C43">
        <w:rPr>
          <w:rFonts w:ascii="Times New Roman" w:hAnsi="Times New Roman" w:cs="Times New Roman"/>
          <w:sz w:val="24"/>
          <w:szCs w:val="24"/>
        </w:rPr>
        <w:t xml:space="preserve"> de valores mobiliários</w:t>
      </w:r>
      <w:r w:rsidR="00D95DE8" w:rsidRPr="00141C43">
        <w:rPr>
          <w:rFonts w:ascii="Times New Roman" w:hAnsi="Times New Roman" w:cs="Times New Roman"/>
          <w:sz w:val="24"/>
          <w:szCs w:val="24"/>
        </w:rPr>
        <w:t xml:space="preserve"> – TVM</w:t>
      </w:r>
      <w:r w:rsidR="00F43432" w:rsidRPr="00141C43">
        <w:rPr>
          <w:rFonts w:ascii="Times New Roman" w:hAnsi="Times New Roman" w:cs="Times New Roman"/>
          <w:sz w:val="24"/>
          <w:szCs w:val="24"/>
        </w:rPr>
        <w:t xml:space="preserve">. Segundo </w:t>
      </w:r>
      <w:r w:rsidR="00E777FA" w:rsidRPr="00141C43">
        <w:rPr>
          <w:rFonts w:ascii="Times New Roman" w:hAnsi="Times New Roman" w:cs="Times New Roman"/>
          <w:sz w:val="24"/>
          <w:szCs w:val="24"/>
        </w:rPr>
        <w:t>Mattos (1985)</w:t>
      </w:r>
      <w:r w:rsidR="00F43432" w:rsidRPr="00141C43">
        <w:rPr>
          <w:rFonts w:ascii="Times New Roman" w:hAnsi="Times New Roman" w:cs="Times New Roman"/>
          <w:sz w:val="24"/>
          <w:szCs w:val="24"/>
        </w:rPr>
        <w:t>, é u</w:t>
      </w:r>
      <w:r w:rsidR="000D3F77" w:rsidRPr="00141C43">
        <w:rPr>
          <w:rFonts w:ascii="Times New Roman" w:hAnsi="Times New Roman" w:cs="Times New Roman"/>
          <w:sz w:val="24"/>
          <w:szCs w:val="24"/>
        </w:rPr>
        <w:t>m título de crédito para negociação</w:t>
      </w:r>
      <w:r w:rsidR="00831E14" w:rsidRPr="00141C43">
        <w:rPr>
          <w:rFonts w:ascii="Times New Roman" w:hAnsi="Times New Roman" w:cs="Times New Roman"/>
          <w:sz w:val="24"/>
          <w:szCs w:val="24"/>
        </w:rPr>
        <w:t>,</w:t>
      </w:r>
      <w:r w:rsidR="000D3F77" w:rsidRPr="00141C43">
        <w:rPr>
          <w:rFonts w:ascii="Times New Roman" w:hAnsi="Times New Roman" w:cs="Times New Roman"/>
          <w:sz w:val="24"/>
          <w:szCs w:val="24"/>
        </w:rPr>
        <w:t xml:space="preserve"> </w:t>
      </w:r>
      <w:r w:rsidR="00F43432" w:rsidRPr="00141C43">
        <w:rPr>
          <w:rFonts w:ascii="Times New Roman" w:hAnsi="Times New Roman" w:cs="Times New Roman"/>
          <w:sz w:val="24"/>
          <w:szCs w:val="24"/>
        </w:rPr>
        <w:t xml:space="preserve">em que há </w:t>
      </w:r>
      <w:r w:rsidR="000D3F77" w:rsidRPr="00141C43">
        <w:rPr>
          <w:rFonts w:ascii="Times New Roman" w:hAnsi="Times New Roman" w:cs="Times New Roman"/>
          <w:sz w:val="24"/>
          <w:szCs w:val="24"/>
        </w:rPr>
        <w:t>a</w:t>
      </w:r>
      <w:r w:rsidR="00A171BD" w:rsidRPr="00141C43">
        <w:rPr>
          <w:rFonts w:ascii="Times New Roman" w:hAnsi="Times New Roman" w:cs="Times New Roman"/>
          <w:sz w:val="24"/>
          <w:szCs w:val="24"/>
        </w:rPr>
        <w:t xml:space="preserve"> atuação governamental na regulação</w:t>
      </w:r>
      <w:r w:rsidR="00D95DE8" w:rsidRPr="00141C43">
        <w:rPr>
          <w:rFonts w:ascii="Times New Roman" w:hAnsi="Times New Roman" w:cs="Times New Roman"/>
          <w:sz w:val="24"/>
          <w:szCs w:val="24"/>
        </w:rPr>
        <w:t>,</w:t>
      </w:r>
      <w:r w:rsidR="000D3F77" w:rsidRPr="00141C43">
        <w:rPr>
          <w:rFonts w:ascii="Times New Roman" w:hAnsi="Times New Roman" w:cs="Times New Roman"/>
          <w:sz w:val="24"/>
          <w:szCs w:val="24"/>
        </w:rPr>
        <w:t xml:space="preserve"> o Bacen e a Comissão de Valores Mobiliários </w:t>
      </w:r>
      <w:r w:rsidR="00F43432" w:rsidRPr="00141C43">
        <w:rPr>
          <w:rFonts w:ascii="Times New Roman" w:hAnsi="Times New Roman" w:cs="Times New Roman"/>
          <w:sz w:val="24"/>
          <w:szCs w:val="24"/>
        </w:rPr>
        <w:t>–</w:t>
      </w:r>
      <w:r w:rsidR="000D3F77" w:rsidRPr="00141C43">
        <w:rPr>
          <w:rFonts w:ascii="Times New Roman" w:hAnsi="Times New Roman" w:cs="Times New Roman"/>
          <w:sz w:val="24"/>
          <w:szCs w:val="24"/>
        </w:rPr>
        <w:t xml:space="preserve"> CVM</w:t>
      </w:r>
      <w:r w:rsidR="00F43432" w:rsidRPr="00141C43">
        <w:rPr>
          <w:rFonts w:ascii="Times New Roman" w:hAnsi="Times New Roman" w:cs="Times New Roman"/>
          <w:sz w:val="24"/>
          <w:szCs w:val="24"/>
        </w:rPr>
        <w:t xml:space="preserve">, para usá-lo </w:t>
      </w:r>
      <w:r w:rsidR="00A171BD" w:rsidRPr="00141C43">
        <w:rPr>
          <w:rFonts w:ascii="Times New Roman" w:hAnsi="Times New Roman" w:cs="Times New Roman"/>
          <w:sz w:val="24"/>
          <w:szCs w:val="24"/>
        </w:rPr>
        <w:t>como forma de capitalização de empresas</w:t>
      </w:r>
      <w:r w:rsidR="00F43432" w:rsidRPr="00141C43">
        <w:rPr>
          <w:rFonts w:ascii="Times New Roman" w:hAnsi="Times New Roman" w:cs="Times New Roman"/>
          <w:sz w:val="24"/>
          <w:szCs w:val="24"/>
        </w:rPr>
        <w:t>, pelo</w:t>
      </w:r>
      <w:r w:rsidR="00A171BD" w:rsidRPr="00141C43">
        <w:rPr>
          <w:rFonts w:ascii="Times New Roman" w:hAnsi="Times New Roman" w:cs="Times New Roman"/>
          <w:sz w:val="24"/>
          <w:szCs w:val="24"/>
        </w:rPr>
        <w:t xml:space="preserve"> acesso </w:t>
      </w:r>
      <w:r w:rsidR="000D3F77" w:rsidRPr="00141C43">
        <w:rPr>
          <w:rFonts w:ascii="Times New Roman" w:hAnsi="Times New Roman" w:cs="Times New Roman"/>
          <w:sz w:val="24"/>
          <w:szCs w:val="24"/>
        </w:rPr>
        <w:t>ao público detentor de poupança.</w:t>
      </w:r>
      <w:r w:rsidR="00A171BD" w:rsidRPr="00141C43">
        <w:rPr>
          <w:rFonts w:ascii="Times New Roman" w:hAnsi="Times New Roman" w:cs="Times New Roman"/>
          <w:sz w:val="24"/>
          <w:szCs w:val="24"/>
        </w:rPr>
        <w:t xml:space="preserve"> </w:t>
      </w:r>
      <w:r w:rsidR="00F43432" w:rsidRPr="00141C43">
        <w:rPr>
          <w:rFonts w:ascii="Times New Roman" w:hAnsi="Times New Roman" w:cs="Times New Roman"/>
          <w:sz w:val="24"/>
          <w:szCs w:val="24"/>
        </w:rPr>
        <w:t xml:space="preserve">Quanto às seguradoras, a </w:t>
      </w:r>
      <w:r w:rsidR="00521C6B" w:rsidRPr="00141C43">
        <w:rPr>
          <w:rFonts w:ascii="Times New Roman" w:hAnsi="Times New Roman" w:cs="Times New Roman"/>
          <w:sz w:val="24"/>
          <w:szCs w:val="24"/>
        </w:rPr>
        <w:t xml:space="preserve">Susep </w:t>
      </w:r>
      <w:r w:rsidR="00831E14" w:rsidRPr="00141C43">
        <w:rPr>
          <w:rFonts w:ascii="Times New Roman" w:hAnsi="Times New Roman" w:cs="Times New Roman"/>
          <w:sz w:val="24"/>
          <w:szCs w:val="24"/>
        </w:rPr>
        <w:t>o utiliza c</w:t>
      </w:r>
      <w:r w:rsidR="00521C6B" w:rsidRPr="00141C43">
        <w:rPr>
          <w:rFonts w:ascii="Times New Roman" w:hAnsi="Times New Roman" w:cs="Times New Roman"/>
          <w:sz w:val="24"/>
          <w:szCs w:val="24"/>
        </w:rPr>
        <w:t>omo um ativo garantidor para cobertura do passivo.</w:t>
      </w:r>
    </w:p>
    <w:p w14:paraId="2723AFBF" w14:textId="3173CCCE" w:rsidR="00C5433B" w:rsidRPr="00141C43" w:rsidRDefault="00046A2F"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Já</w:t>
      </w:r>
      <w:r w:rsidR="003E5169" w:rsidRPr="00141C43">
        <w:rPr>
          <w:rFonts w:ascii="Times New Roman" w:hAnsi="Times New Roman" w:cs="Times New Roman"/>
          <w:sz w:val="24"/>
          <w:szCs w:val="24"/>
        </w:rPr>
        <w:t xml:space="preserve"> existia um</w:t>
      </w:r>
      <w:r w:rsidR="00116CD9" w:rsidRPr="00141C43">
        <w:rPr>
          <w:rFonts w:ascii="Times New Roman" w:hAnsi="Times New Roman" w:cs="Times New Roman"/>
          <w:sz w:val="24"/>
          <w:szCs w:val="24"/>
        </w:rPr>
        <w:t>a bolsa de valores livre</w:t>
      </w:r>
      <w:r w:rsidR="00947C52" w:rsidRPr="00141C43">
        <w:rPr>
          <w:rFonts w:ascii="Times New Roman" w:hAnsi="Times New Roman" w:cs="Times New Roman"/>
          <w:sz w:val="24"/>
          <w:szCs w:val="24"/>
        </w:rPr>
        <w:t>,</w:t>
      </w:r>
      <w:r w:rsidR="00116CD9" w:rsidRPr="00141C43">
        <w:rPr>
          <w:rFonts w:ascii="Times New Roman" w:hAnsi="Times New Roman" w:cs="Times New Roman"/>
          <w:sz w:val="24"/>
          <w:szCs w:val="24"/>
        </w:rPr>
        <w:t xml:space="preserve"> chamada</w:t>
      </w:r>
      <w:r w:rsidR="003E5169" w:rsidRPr="00141C43">
        <w:rPr>
          <w:rFonts w:ascii="Times New Roman" w:hAnsi="Times New Roman" w:cs="Times New Roman"/>
          <w:sz w:val="24"/>
          <w:szCs w:val="24"/>
        </w:rPr>
        <w:t xml:space="preserve"> de BOVESPA</w:t>
      </w:r>
      <w:r w:rsidR="007771E0" w:rsidRPr="00141C43">
        <w:rPr>
          <w:rFonts w:ascii="Times New Roman" w:hAnsi="Times New Roman" w:cs="Times New Roman"/>
          <w:sz w:val="24"/>
          <w:szCs w:val="24"/>
        </w:rPr>
        <w:t xml:space="preserve"> (Bolsa de Valores do Estado de São Paulo)</w:t>
      </w:r>
      <w:r w:rsidR="00947C52" w:rsidRPr="00141C43">
        <w:rPr>
          <w:rFonts w:ascii="Times New Roman" w:hAnsi="Times New Roman" w:cs="Times New Roman"/>
          <w:sz w:val="24"/>
          <w:szCs w:val="24"/>
        </w:rPr>
        <w:t>,</w:t>
      </w:r>
      <w:r w:rsidR="003E5169" w:rsidRPr="00141C43">
        <w:rPr>
          <w:rFonts w:ascii="Times New Roman" w:hAnsi="Times New Roman" w:cs="Times New Roman"/>
          <w:sz w:val="24"/>
          <w:szCs w:val="24"/>
        </w:rPr>
        <w:t xml:space="preserve"> </w:t>
      </w:r>
      <w:r w:rsidR="00D1572A" w:rsidRPr="00141C43">
        <w:rPr>
          <w:rFonts w:ascii="Times New Roman" w:hAnsi="Times New Roman" w:cs="Times New Roman"/>
          <w:sz w:val="24"/>
          <w:szCs w:val="24"/>
        </w:rPr>
        <w:t>em qu</w:t>
      </w:r>
      <w:r w:rsidR="003E5169" w:rsidRPr="00141C43">
        <w:rPr>
          <w:rFonts w:ascii="Times New Roman" w:hAnsi="Times New Roman" w:cs="Times New Roman"/>
          <w:sz w:val="24"/>
          <w:szCs w:val="24"/>
        </w:rPr>
        <w:t>e eram ne</w:t>
      </w:r>
      <w:r w:rsidR="00B25DF2" w:rsidRPr="00141C43">
        <w:rPr>
          <w:rFonts w:ascii="Times New Roman" w:hAnsi="Times New Roman" w:cs="Times New Roman"/>
          <w:sz w:val="24"/>
          <w:szCs w:val="24"/>
        </w:rPr>
        <w:t>goci</w:t>
      </w:r>
      <w:r w:rsidR="00116CD9" w:rsidRPr="00141C43">
        <w:rPr>
          <w:rFonts w:ascii="Times New Roman" w:hAnsi="Times New Roman" w:cs="Times New Roman"/>
          <w:sz w:val="24"/>
          <w:szCs w:val="24"/>
        </w:rPr>
        <w:t>adas</w:t>
      </w:r>
      <w:r w:rsidR="00B25DF2" w:rsidRPr="00141C43">
        <w:rPr>
          <w:rFonts w:ascii="Times New Roman" w:hAnsi="Times New Roman" w:cs="Times New Roman"/>
          <w:sz w:val="24"/>
          <w:szCs w:val="24"/>
        </w:rPr>
        <w:t xml:space="preserve"> essas ações</w:t>
      </w:r>
      <w:r w:rsidR="00D1572A" w:rsidRPr="00141C43">
        <w:rPr>
          <w:rFonts w:ascii="Times New Roman" w:hAnsi="Times New Roman" w:cs="Times New Roman"/>
          <w:sz w:val="24"/>
          <w:szCs w:val="24"/>
        </w:rPr>
        <w:t>,</w:t>
      </w:r>
      <w:r w:rsidR="00B25DF2" w:rsidRPr="00141C43">
        <w:rPr>
          <w:rFonts w:ascii="Times New Roman" w:hAnsi="Times New Roman" w:cs="Times New Roman"/>
          <w:sz w:val="24"/>
          <w:szCs w:val="24"/>
        </w:rPr>
        <w:t xml:space="preserve"> via balcão</w:t>
      </w:r>
      <w:r w:rsidR="00116CD9" w:rsidRPr="00141C43">
        <w:rPr>
          <w:rFonts w:ascii="Times New Roman" w:hAnsi="Times New Roman" w:cs="Times New Roman"/>
          <w:sz w:val="24"/>
          <w:szCs w:val="24"/>
        </w:rPr>
        <w:t>. Além das ações,</w:t>
      </w:r>
      <w:r w:rsidR="00AE6732" w:rsidRPr="00141C43">
        <w:rPr>
          <w:rFonts w:ascii="Times New Roman" w:hAnsi="Times New Roman" w:cs="Times New Roman"/>
          <w:sz w:val="24"/>
          <w:szCs w:val="24"/>
        </w:rPr>
        <w:t xml:space="preserve"> </w:t>
      </w:r>
      <w:r w:rsidRPr="00141C43">
        <w:rPr>
          <w:rFonts w:ascii="Times New Roman" w:hAnsi="Times New Roman" w:cs="Times New Roman"/>
          <w:sz w:val="24"/>
          <w:szCs w:val="24"/>
        </w:rPr>
        <w:t>havia</w:t>
      </w:r>
      <w:r w:rsidR="00116CD9" w:rsidRPr="00141C43">
        <w:rPr>
          <w:rFonts w:ascii="Times New Roman" w:hAnsi="Times New Roman" w:cs="Times New Roman"/>
          <w:sz w:val="24"/>
          <w:szCs w:val="24"/>
        </w:rPr>
        <w:t xml:space="preserve"> as</w:t>
      </w:r>
      <w:r w:rsidR="00AE6732" w:rsidRPr="00141C43">
        <w:rPr>
          <w:rFonts w:ascii="Times New Roman" w:hAnsi="Times New Roman" w:cs="Times New Roman"/>
          <w:sz w:val="24"/>
          <w:szCs w:val="24"/>
        </w:rPr>
        <w:t xml:space="preserve"> debêntures de empresas que </w:t>
      </w:r>
      <w:r w:rsidR="00947C52" w:rsidRPr="00141C43">
        <w:rPr>
          <w:rFonts w:ascii="Times New Roman" w:hAnsi="Times New Roman" w:cs="Times New Roman"/>
          <w:sz w:val="24"/>
          <w:szCs w:val="24"/>
        </w:rPr>
        <w:t>precisa</w:t>
      </w:r>
      <w:r w:rsidR="00AE6732" w:rsidRPr="00141C43">
        <w:rPr>
          <w:rFonts w:ascii="Times New Roman" w:hAnsi="Times New Roman" w:cs="Times New Roman"/>
          <w:sz w:val="24"/>
          <w:szCs w:val="24"/>
        </w:rPr>
        <w:t xml:space="preserve">vam de recursos para novos projetos, </w:t>
      </w:r>
      <w:r w:rsidRPr="00141C43">
        <w:rPr>
          <w:rFonts w:ascii="Times New Roman" w:hAnsi="Times New Roman" w:cs="Times New Roman"/>
          <w:sz w:val="24"/>
          <w:szCs w:val="24"/>
        </w:rPr>
        <w:t xml:space="preserve">e </w:t>
      </w:r>
      <w:r w:rsidR="00AE6732" w:rsidRPr="00141C43">
        <w:rPr>
          <w:rFonts w:ascii="Times New Roman" w:hAnsi="Times New Roman" w:cs="Times New Roman"/>
          <w:sz w:val="24"/>
          <w:szCs w:val="24"/>
        </w:rPr>
        <w:t>de certa forma</w:t>
      </w:r>
      <w:r w:rsidRPr="00141C43">
        <w:rPr>
          <w:rFonts w:ascii="Times New Roman" w:hAnsi="Times New Roman" w:cs="Times New Roman"/>
          <w:sz w:val="24"/>
          <w:szCs w:val="24"/>
        </w:rPr>
        <w:t>,</w:t>
      </w:r>
      <w:r w:rsidR="00AE6732" w:rsidRPr="00141C43">
        <w:rPr>
          <w:rFonts w:ascii="Times New Roman" w:hAnsi="Times New Roman" w:cs="Times New Roman"/>
          <w:sz w:val="24"/>
          <w:szCs w:val="24"/>
        </w:rPr>
        <w:t xml:space="preserve"> traz</w:t>
      </w:r>
      <w:r w:rsidR="00947C52" w:rsidRPr="00141C43">
        <w:rPr>
          <w:rFonts w:ascii="Times New Roman" w:hAnsi="Times New Roman" w:cs="Times New Roman"/>
          <w:sz w:val="24"/>
          <w:szCs w:val="24"/>
        </w:rPr>
        <w:t>iam</w:t>
      </w:r>
      <w:r w:rsidR="00AE6732" w:rsidRPr="00141C43">
        <w:rPr>
          <w:rFonts w:ascii="Times New Roman" w:hAnsi="Times New Roman" w:cs="Times New Roman"/>
          <w:sz w:val="24"/>
          <w:szCs w:val="24"/>
        </w:rPr>
        <w:t xml:space="preserve"> novos investidor</w:t>
      </w:r>
      <w:r w:rsidR="00116CD9" w:rsidRPr="00141C43">
        <w:rPr>
          <w:rFonts w:ascii="Times New Roman" w:hAnsi="Times New Roman" w:cs="Times New Roman"/>
          <w:sz w:val="24"/>
          <w:szCs w:val="24"/>
        </w:rPr>
        <w:t>es</w:t>
      </w:r>
      <w:r w:rsidRPr="00141C43">
        <w:rPr>
          <w:rFonts w:ascii="Times New Roman" w:hAnsi="Times New Roman" w:cs="Times New Roman"/>
          <w:sz w:val="24"/>
          <w:szCs w:val="24"/>
        </w:rPr>
        <w:t>, visto que e</w:t>
      </w:r>
      <w:r w:rsidR="00947C52" w:rsidRPr="00141C43">
        <w:rPr>
          <w:rFonts w:ascii="Times New Roman" w:hAnsi="Times New Roman" w:cs="Times New Roman"/>
          <w:sz w:val="24"/>
          <w:szCs w:val="24"/>
        </w:rPr>
        <w:t>l</w:t>
      </w:r>
      <w:r w:rsidRPr="00141C43">
        <w:rPr>
          <w:rFonts w:ascii="Times New Roman" w:hAnsi="Times New Roman" w:cs="Times New Roman"/>
          <w:sz w:val="24"/>
          <w:szCs w:val="24"/>
        </w:rPr>
        <w:t>as p</w:t>
      </w:r>
      <w:r w:rsidR="00116CD9" w:rsidRPr="00141C43">
        <w:rPr>
          <w:rFonts w:ascii="Times New Roman" w:hAnsi="Times New Roman" w:cs="Times New Roman"/>
          <w:sz w:val="24"/>
          <w:szCs w:val="24"/>
        </w:rPr>
        <w:t>ode</w:t>
      </w:r>
      <w:r w:rsidR="00AE6732" w:rsidRPr="00141C43">
        <w:rPr>
          <w:rFonts w:ascii="Times New Roman" w:hAnsi="Times New Roman" w:cs="Times New Roman"/>
          <w:sz w:val="24"/>
          <w:szCs w:val="24"/>
        </w:rPr>
        <w:t>m ser convertidas em ações</w:t>
      </w:r>
      <w:r w:rsidRPr="00141C43">
        <w:rPr>
          <w:rFonts w:ascii="Times New Roman" w:hAnsi="Times New Roman" w:cs="Times New Roman"/>
          <w:sz w:val="24"/>
          <w:szCs w:val="24"/>
        </w:rPr>
        <w:t>,</w:t>
      </w:r>
      <w:r w:rsidR="00AE6732" w:rsidRPr="00141C43">
        <w:rPr>
          <w:rFonts w:ascii="Times New Roman" w:hAnsi="Times New Roman" w:cs="Times New Roman"/>
          <w:sz w:val="24"/>
          <w:szCs w:val="24"/>
        </w:rPr>
        <w:t xml:space="preserve"> </w:t>
      </w:r>
      <w:r w:rsidR="00AA37DA" w:rsidRPr="00141C43">
        <w:rPr>
          <w:rFonts w:ascii="Times New Roman" w:hAnsi="Times New Roman" w:cs="Times New Roman"/>
          <w:sz w:val="24"/>
          <w:szCs w:val="24"/>
        </w:rPr>
        <w:t>chamadas de</w:t>
      </w:r>
      <w:r w:rsidR="00F15F1C" w:rsidRPr="00141C43">
        <w:rPr>
          <w:rFonts w:ascii="Times New Roman" w:hAnsi="Times New Roman" w:cs="Times New Roman"/>
          <w:sz w:val="24"/>
          <w:szCs w:val="24"/>
        </w:rPr>
        <w:t xml:space="preserve"> </w:t>
      </w:r>
      <w:r w:rsidR="003E5169" w:rsidRPr="00141C43">
        <w:rPr>
          <w:rFonts w:ascii="Times New Roman" w:hAnsi="Times New Roman" w:cs="Times New Roman"/>
          <w:sz w:val="24"/>
          <w:szCs w:val="24"/>
        </w:rPr>
        <w:t>va</w:t>
      </w:r>
      <w:r w:rsidR="00F15F1C" w:rsidRPr="00141C43">
        <w:rPr>
          <w:rFonts w:ascii="Times New Roman" w:hAnsi="Times New Roman" w:cs="Times New Roman"/>
          <w:sz w:val="24"/>
          <w:szCs w:val="24"/>
        </w:rPr>
        <w:t>lor mobiliário</w:t>
      </w:r>
      <w:r w:rsidR="00AE6732" w:rsidRPr="00141C43">
        <w:rPr>
          <w:rFonts w:ascii="Times New Roman" w:hAnsi="Times New Roman" w:cs="Times New Roman"/>
          <w:sz w:val="24"/>
          <w:szCs w:val="24"/>
        </w:rPr>
        <w:t xml:space="preserve">. </w:t>
      </w:r>
      <w:r w:rsidRPr="00141C43">
        <w:rPr>
          <w:rFonts w:ascii="Times New Roman" w:hAnsi="Times New Roman" w:cs="Times New Roman"/>
          <w:sz w:val="24"/>
          <w:szCs w:val="24"/>
        </w:rPr>
        <w:t xml:space="preserve">Em 1976, </w:t>
      </w:r>
      <w:r w:rsidR="00947C52" w:rsidRPr="00141C43">
        <w:rPr>
          <w:rFonts w:ascii="Times New Roman" w:hAnsi="Times New Roman" w:cs="Times New Roman"/>
          <w:sz w:val="24"/>
          <w:szCs w:val="24"/>
        </w:rPr>
        <w:t>vieram</w:t>
      </w:r>
      <w:r w:rsidRPr="00141C43">
        <w:rPr>
          <w:rFonts w:ascii="Times New Roman" w:hAnsi="Times New Roman" w:cs="Times New Roman"/>
          <w:sz w:val="24"/>
          <w:szCs w:val="24"/>
        </w:rPr>
        <w:t xml:space="preserve"> a CV</w:t>
      </w:r>
      <w:r w:rsidR="003E5169" w:rsidRPr="00141C43">
        <w:rPr>
          <w:rFonts w:ascii="Times New Roman" w:hAnsi="Times New Roman" w:cs="Times New Roman"/>
          <w:sz w:val="24"/>
          <w:szCs w:val="24"/>
        </w:rPr>
        <w:t>M</w:t>
      </w:r>
      <w:r w:rsidRPr="00141C43">
        <w:rPr>
          <w:rFonts w:ascii="Times New Roman" w:hAnsi="Times New Roman" w:cs="Times New Roman"/>
          <w:sz w:val="24"/>
          <w:szCs w:val="24"/>
        </w:rPr>
        <w:t xml:space="preserve"> e as leis</w:t>
      </w:r>
      <w:r w:rsidR="00A21A12" w:rsidRPr="00141C43">
        <w:rPr>
          <w:rFonts w:ascii="Times New Roman" w:hAnsi="Times New Roman" w:cs="Times New Roman"/>
          <w:sz w:val="24"/>
          <w:szCs w:val="24"/>
        </w:rPr>
        <w:t xml:space="preserve"> 6.385/76 e 6.404/76</w:t>
      </w:r>
      <w:r w:rsidRPr="00141C43">
        <w:rPr>
          <w:rFonts w:ascii="Times New Roman" w:hAnsi="Times New Roman" w:cs="Times New Roman"/>
          <w:sz w:val="24"/>
          <w:szCs w:val="24"/>
        </w:rPr>
        <w:t>,</w:t>
      </w:r>
      <w:r w:rsidR="00D94687" w:rsidRPr="00141C43">
        <w:rPr>
          <w:rFonts w:ascii="Times New Roman" w:hAnsi="Times New Roman" w:cs="Times New Roman"/>
          <w:sz w:val="24"/>
          <w:szCs w:val="24"/>
        </w:rPr>
        <w:t xml:space="preserve"> da sociedade por ações</w:t>
      </w:r>
      <w:r w:rsidRPr="00141C43">
        <w:rPr>
          <w:rFonts w:ascii="Times New Roman" w:hAnsi="Times New Roman" w:cs="Times New Roman"/>
          <w:sz w:val="24"/>
          <w:szCs w:val="24"/>
        </w:rPr>
        <w:t>, como já relatado</w:t>
      </w:r>
      <w:r w:rsidR="005269C2">
        <w:rPr>
          <w:rFonts w:ascii="Times New Roman" w:hAnsi="Times New Roman" w:cs="Times New Roman"/>
          <w:sz w:val="24"/>
          <w:szCs w:val="24"/>
        </w:rPr>
        <w:t xml:space="preserve"> (Lei n. 6.385</w:t>
      </w:r>
      <w:r w:rsidR="00C30C6B" w:rsidRPr="00141C43">
        <w:rPr>
          <w:rFonts w:ascii="Times New Roman" w:hAnsi="Times New Roman" w:cs="Times New Roman"/>
          <w:sz w:val="24"/>
          <w:szCs w:val="24"/>
        </w:rPr>
        <w:t xml:space="preserve">, </w:t>
      </w:r>
      <w:r w:rsidR="005269C2">
        <w:rPr>
          <w:rFonts w:ascii="Times New Roman" w:hAnsi="Times New Roman" w:cs="Times New Roman"/>
          <w:sz w:val="24"/>
          <w:szCs w:val="24"/>
        </w:rPr>
        <w:t>1976</w:t>
      </w:r>
      <w:r w:rsidR="00C30C6B" w:rsidRPr="00141C43">
        <w:rPr>
          <w:rFonts w:ascii="Times New Roman" w:hAnsi="Times New Roman" w:cs="Times New Roman"/>
          <w:sz w:val="24"/>
          <w:szCs w:val="24"/>
        </w:rPr>
        <w:t>)</w:t>
      </w:r>
      <w:r w:rsidR="00C5433B" w:rsidRPr="00141C43">
        <w:rPr>
          <w:rFonts w:ascii="Times New Roman" w:hAnsi="Times New Roman" w:cs="Times New Roman"/>
          <w:sz w:val="24"/>
          <w:szCs w:val="24"/>
        </w:rPr>
        <w:t>.</w:t>
      </w:r>
    </w:p>
    <w:p w14:paraId="1F19ED5C" w14:textId="59FCA9BE" w:rsidR="00D42B7E" w:rsidRPr="00141C43" w:rsidRDefault="00116CD9"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Os TVM</w:t>
      </w:r>
      <w:r w:rsidR="00DD6C20" w:rsidRPr="00141C43">
        <w:rPr>
          <w:rFonts w:ascii="Times New Roman" w:hAnsi="Times New Roman" w:cs="Times New Roman"/>
          <w:sz w:val="24"/>
          <w:szCs w:val="24"/>
        </w:rPr>
        <w:t xml:space="preserve"> são </w:t>
      </w:r>
      <w:r w:rsidR="00B028BA" w:rsidRPr="00141C43">
        <w:rPr>
          <w:rFonts w:ascii="Times New Roman" w:hAnsi="Times New Roman" w:cs="Times New Roman"/>
          <w:sz w:val="24"/>
          <w:szCs w:val="24"/>
        </w:rPr>
        <w:t>instrumentos financeiros</w:t>
      </w:r>
      <w:r w:rsidR="00DD6C20" w:rsidRPr="00141C43">
        <w:rPr>
          <w:rFonts w:ascii="Times New Roman" w:hAnsi="Times New Roman" w:cs="Times New Roman"/>
          <w:sz w:val="24"/>
          <w:szCs w:val="24"/>
        </w:rPr>
        <w:t xml:space="preserve"> disciplinados pela CVM e </w:t>
      </w:r>
      <w:r w:rsidR="004156AF" w:rsidRPr="00141C43">
        <w:rPr>
          <w:rFonts w:ascii="Times New Roman" w:hAnsi="Times New Roman" w:cs="Times New Roman"/>
          <w:sz w:val="24"/>
          <w:szCs w:val="24"/>
        </w:rPr>
        <w:t>colocados</w:t>
      </w:r>
      <w:r w:rsidR="003E5169" w:rsidRPr="00141C43">
        <w:rPr>
          <w:rFonts w:ascii="Times New Roman" w:hAnsi="Times New Roman" w:cs="Times New Roman"/>
          <w:sz w:val="24"/>
          <w:szCs w:val="24"/>
        </w:rPr>
        <w:t xml:space="preserve"> em mercados de balcão nas</w:t>
      </w:r>
      <w:r w:rsidR="00A66477" w:rsidRPr="00141C43">
        <w:rPr>
          <w:rFonts w:ascii="Times New Roman" w:hAnsi="Times New Roman" w:cs="Times New Roman"/>
          <w:sz w:val="24"/>
          <w:szCs w:val="24"/>
        </w:rPr>
        <w:t xml:space="preserve"> bolsas de valores</w:t>
      </w:r>
      <w:r w:rsidR="004F0414" w:rsidRPr="00141C43">
        <w:rPr>
          <w:rFonts w:ascii="Times New Roman" w:hAnsi="Times New Roman" w:cs="Times New Roman"/>
          <w:sz w:val="24"/>
          <w:szCs w:val="24"/>
        </w:rPr>
        <w:t xml:space="preserve"> para</w:t>
      </w:r>
      <w:r w:rsidR="004156AF" w:rsidRPr="00141C43">
        <w:rPr>
          <w:rFonts w:ascii="Times New Roman" w:hAnsi="Times New Roman" w:cs="Times New Roman"/>
          <w:sz w:val="24"/>
          <w:szCs w:val="24"/>
        </w:rPr>
        <w:t xml:space="preserve"> </w:t>
      </w:r>
      <w:r w:rsidR="003D10F8" w:rsidRPr="00141C43">
        <w:rPr>
          <w:rFonts w:ascii="Times New Roman" w:hAnsi="Times New Roman" w:cs="Times New Roman"/>
          <w:sz w:val="24"/>
          <w:szCs w:val="24"/>
        </w:rPr>
        <w:t>obter</w:t>
      </w:r>
      <w:r w:rsidR="004F0414" w:rsidRPr="00141C43">
        <w:rPr>
          <w:rFonts w:ascii="Times New Roman" w:hAnsi="Times New Roman" w:cs="Times New Roman"/>
          <w:sz w:val="24"/>
          <w:szCs w:val="24"/>
        </w:rPr>
        <w:t xml:space="preserve"> rendimentos</w:t>
      </w:r>
      <w:r w:rsidR="002437FE" w:rsidRPr="00141C43">
        <w:rPr>
          <w:rFonts w:ascii="Times New Roman" w:hAnsi="Times New Roman" w:cs="Times New Roman"/>
          <w:sz w:val="24"/>
          <w:szCs w:val="24"/>
        </w:rPr>
        <w:t xml:space="preserve"> financeiros</w:t>
      </w:r>
      <w:r w:rsidR="00FC1A1E" w:rsidRPr="00141C43">
        <w:rPr>
          <w:rFonts w:ascii="Times New Roman" w:hAnsi="Times New Roman" w:cs="Times New Roman"/>
          <w:sz w:val="24"/>
          <w:szCs w:val="24"/>
        </w:rPr>
        <w:t>, pela</w:t>
      </w:r>
      <w:r w:rsidR="00286D12" w:rsidRPr="00141C43">
        <w:rPr>
          <w:rFonts w:ascii="Times New Roman" w:hAnsi="Times New Roman" w:cs="Times New Roman"/>
          <w:sz w:val="24"/>
          <w:szCs w:val="24"/>
        </w:rPr>
        <w:t xml:space="preserve"> capitalização dos títulos</w:t>
      </w:r>
      <w:r w:rsidR="00F82054" w:rsidRPr="00141C43">
        <w:rPr>
          <w:rFonts w:ascii="Times New Roman" w:hAnsi="Times New Roman" w:cs="Times New Roman"/>
          <w:sz w:val="24"/>
          <w:szCs w:val="24"/>
        </w:rPr>
        <w:t>.</w:t>
      </w:r>
      <w:r w:rsidR="00216D15" w:rsidRPr="00141C43">
        <w:rPr>
          <w:rFonts w:ascii="Times New Roman" w:hAnsi="Times New Roman" w:cs="Times New Roman"/>
          <w:sz w:val="24"/>
          <w:szCs w:val="24"/>
        </w:rPr>
        <w:t xml:space="preserve"> Es</w:t>
      </w:r>
      <w:r w:rsidR="004B7CA6" w:rsidRPr="00141C43">
        <w:rPr>
          <w:rFonts w:ascii="Times New Roman" w:hAnsi="Times New Roman" w:cs="Times New Roman"/>
          <w:sz w:val="24"/>
          <w:szCs w:val="24"/>
        </w:rPr>
        <w:t>ses instrumentos</w:t>
      </w:r>
      <w:r w:rsidR="00216D15" w:rsidRPr="00141C43">
        <w:rPr>
          <w:rFonts w:ascii="Times New Roman" w:hAnsi="Times New Roman" w:cs="Times New Roman"/>
          <w:sz w:val="24"/>
          <w:szCs w:val="24"/>
        </w:rPr>
        <w:t xml:space="preserve"> são compostos por títulos de dívida,</w:t>
      </w:r>
      <w:r w:rsidR="00A66477" w:rsidRPr="00141C43">
        <w:rPr>
          <w:rFonts w:ascii="Times New Roman" w:hAnsi="Times New Roman" w:cs="Times New Roman"/>
          <w:sz w:val="24"/>
          <w:szCs w:val="24"/>
        </w:rPr>
        <w:t xml:space="preserve"> podendo ser pública ou privada</w:t>
      </w:r>
      <w:r w:rsidR="003D10F8" w:rsidRPr="00141C43">
        <w:rPr>
          <w:rFonts w:ascii="Times New Roman" w:hAnsi="Times New Roman" w:cs="Times New Roman"/>
          <w:sz w:val="24"/>
          <w:szCs w:val="24"/>
        </w:rPr>
        <w:t>,</w:t>
      </w:r>
      <w:r w:rsidR="00A66477" w:rsidRPr="00141C43">
        <w:rPr>
          <w:rFonts w:ascii="Times New Roman" w:hAnsi="Times New Roman" w:cs="Times New Roman"/>
          <w:sz w:val="24"/>
          <w:szCs w:val="24"/>
        </w:rPr>
        <w:t xml:space="preserve"> </w:t>
      </w:r>
      <w:r w:rsidR="00216D15" w:rsidRPr="00141C43">
        <w:rPr>
          <w:rFonts w:ascii="Times New Roman" w:hAnsi="Times New Roman" w:cs="Times New Roman"/>
          <w:sz w:val="24"/>
          <w:szCs w:val="24"/>
        </w:rPr>
        <w:t xml:space="preserve">capitalizados </w:t>
      </w:r>
      <w:r w:rsidR="003D10F8" w:rsidRPr="00141C43">
        <w:rPr>
          <w:rFonts w:ascii="Times New Roman" w:hAnsi="Times New Roman" w:cs="Times New Roman"/>
          <w:sz w:val="24"/>
          <w:szCs w:val="24"/>
        </w:rPr>
        <w:t xml:space="preserve">por </w:t>
      </w:r>
      <w:r w:rsidR="00216D15" w:rsidRPr="00141C43">
        <w:rPr>
          <w:rFonts w:ascii="Times New Roman" w:hAnsi="Times New Roman" w:cs="Times New Roman"/>
          <w:sz w:val="24"/>
          <w:szCs w:val="24"/>
        </w:rPr>
        <w:t>taxas de juros</w:t>
      </w:r>
      <w:r w:rsidR="00B25DF2" w:rsidRPr="00141C43">
        <w:rPr>
          <w:rFonts w:ascii="Times New Roman" w:hAnsi="Times New Roman" w:cs="Times New Roman"/>
          <w:sz w:val="24"/>
          <w:szCs w:val="24"/>
        </w:rPr>
        <w:t xml:space="preserve"> e indexador de inflação</w:t>
      </w:r>
      <w:r w:rsidR="00ED48A7" w:rsidRPr="00141C43">
        <w:rPr>
          <w:rFonts w:ascii="Times New Roman" w:hAnsi="Times New Roman" w:cs="Times New Roman"/>
          <w:sz w:val="24"/>
          <w:szCs w:val="24"/>
        </w:rPr>
        <w:t>, ações de companhias colocad</w:t>
      </w:r>
      <w:r w:rsidR="004B7CA6" w:rsidRPr="00141C43">
        <w:rPr>
          <w:rFonts w:ascii="Times New Roman" w:hAnsi="Times New Roman" w:cs="Times New Roman"/>
          <w:sz w:val="24"/>
          <w:szCs w:val="24"/>
        </w:rPr>
        <w:t>a</w:t>
      </w:r>
      <w:r w:rsidR="00ED48A7" w:rsidRPr="00141C43">
        <w:rPr>
          <w:rFonts w:ascii="Times New Roman" w:hAnsi="Times New Roman" w:cs="Times New Roman"/>
          <w:sz w:val="24"/>
          <w:szCs w:val="24"/>
        </w:rPr>
        <w:t>s a mercado e derivativos para contratos futuros</w:t>
      </w:r>
      <w:r w:rsidR="00216D15" w:rsidRPr="00141C43">
        <w:rPr>
          <w:rFonts w:ascii="Times New Roman" w:hAnsi="Times New Roman" w:cs="Times New Roman"/>
          <w:sz w:val="24"/>
          <w:szCs w:val="24"/>
        </w:rPr>
        <w:t>.</w:t>
      </w:r>
      <w:r w:rsidR="007771E0" w:rsidRPr="00141C43">
        <w:rPr>
          <w:rFonts w:ascii="Times New Roman" w:hAnsi="Times New Roman" w:cs="Times New Roman"/>
          <w:sz w:val="24"/>
          <w:szCs w:val="24"/>
        </w:rPr>
        <w:t xml:space="preserve"> </w:t>
      </w:r>
    </w:p>
    <w:p w14:paraId="44428D76" w14:textId="55CADBE1" w:rsidR="00F45858" w:rsidRPr="00141C43" w:rsidRDefault="00F45858"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As instituições financeiras brasileiras anunciaram a utilização das normas internacionais das </w:t>
      </w:r>
      <w:proofErr w:type="spellStart"/>
      <w:r w:rsidRPr="00141C43">
        <w:rPr>
          <w:rFonts w:ascii="Times New Roman" w:hAnsi="Times New Roman" w:cs="Times New Roman"/>
          <w:sz w:val="24"/>
          <w:szCs w:val="24"/>
        </w:rPr>
        <w:t>IFRSs</w:t>
      </w:r>
      <w:proofErr w:type="spellEnd"/>
      <w:r w:rsidRPr="00141C43">
        <w:rPr>
          <w:rFonts w:ascii="Times New Roman" w:hAnsi="Times New Roman" w:cs="Times New Roman"/>
          <w:sz w:val="24"/>
          <w:szCs w:val="24"/>
        </w:rPr>
        <w:t xml:space="preserve"> </w:t>
      </w:r>
      <w:r w:rsidR="004F13EA" w:rsidRPr="00141C43">
        <w:rPr>
          <w:rFonts w:ascii="Times New Roman" w:hAnsi="Times New Roman" w:cs="Times New Roman"/>
          <w:sz w:val="24"/>
          <w:szCs w:val="24"/>
        </w:rPr>
        <w:t>para consolidar</w:t>
      </w:r>
      <w:r w:rsidRPr="00141C43">
        <w:rPr>
          <w:rFonts w:ascii="Times New Roman" w:hAnsi="Times New Roman" w:cs="Times New Roman"/>
          <w:sz w:val="24"/>
          <w:szCs w:val="24"/>
        </w:rPr>
        <w:t xml:space="preserve"> </w:t>
      </w:r>
      <w:r w:rsidR="004F13EA" w:rsidRPr="00141C43">
        <w:rPr>
          <w:rFonts w:ascii="Times New Roman" w:hAnsi="Times New Roman" w:cs="Times New Roman"/>
          <w:sz w:val="24"/>
          <w:szCs w:val="24"/>
        </w:rPr>
        <w:t xml:space="preserve">o </w:t>
      </w:r>
      <w:r w:rsidRPr="00141C43">
        <w:rPr>
          <w:rFonts w:ascii="Times New Roman" w:hAnsi="Times New Roman" w:cs="Times New Roman"/>
          <w:sz w:val="24"/>
          <w:szCs w:val="24"/>
        </w:rPr>
        <w:t>balanço</w:t>
      </w:r>
      <w:r w:rsidR="00947C52" w:rsidRPr="00141C43">
        <w:rPr>
          <w:rFonts w:ascii="Times New Roman" w:hAnsi="Times New Roman" w:cs="Times New Roman"/>
          <w:sz w:val="24"/>
          <w:szCs w:val="24"/>
        </w:rPr>
        <w:t>,</w:t>
      </w:r>
      <w:r w:rsidRPr="00141C43">
        <w:rPr>
          <w:rFonts w:ascii="Times New Roman" w:hAnsi="Times New Roman" w:cs="Times New Roman"/>
          <w:sz w:val="24"/>
          <w:szCs w:val="24"/>
        </w:rPr>
        <w:t xml:space="preserve"> desde a Circular nº 3.068 pronunciada pelo Bacen</w:t>
      </w:r>
      <w:r w:rsidR="004F13EA" w:rsidRPr="00141C43">
        <w:rPr>
          <w:rFonts w:ascii="Times New Roman" w:hAnsi="Times New Roman" w:cs="Times New Roman"/>
          <w:sz w:val="24"/>
          <w:szCs w:val="24"/>
        </w:rPr>
        <w:t>. As seguradoras, por sua vez, devem</w:t>
      </w:r>
      <w:r w:rsidR="006C3060" w:rsidRPr="00141C43">
        <w:rPr>
          <w:rFonts w:ascii="Times New Roman" w:hAnsi="Times New Roman" w:cs="Times New Roman"/>
          <w:sz w:val="24"/>
          <w:szCs w:val="24"/>
        </w:rPr>
        <w:t xml:space="preserve"> estar de acordo com as exigências da Susep</w:t>
      </w:r>
      <w:r w:rsidR="00446303">
        <w:rPr>
          <w:rFonts w:ascii="Times New Roman" w:hAnsi="Times New Roman" w:cs="Times New Roman"/>
          <w:sz w:val="24"/>
          <w:szCs w:val="24"/>
        </w:rPr>
        <w:t xml:space="preserve"> </w:t>
      </w:r>
      <w:proofErr w:type="gramStart"/>
      <w:r w:rsidR="00446303">
        <w:rPr>
          <w:rFonts w:ascii="Times New Roman" w:hAnsi="Times New Roman" w:cs="Times New Roman"/>
          <w:sz w:val="24"/>
          <w:szCs w:val="24"/>
        </w:rPr>
        <w:t>conforme</w:t>
      </w:r>
      <w:r w:rsidR="00AA4899" w:rsidRPr="00AA4899">
        <w:rPr>
          <w:rFonts w:ascii="Times New Roman" w:hAnsi="Times New Roman" w:cs="Times New Roman"/>
          <w:sz w:val="24"/>
          <w:szCs w:val="24"/>
        </w:rPr>
        <w:t xml:space="preserve"> Circular</w:t>
      </w:r>
      <w:proofErr w:type="gramEnd"/>
      <w:r w:rsidR="00AA4899" w:rsidRPr="00AA4899">
        <w:rPr>
          <w:rFonts w:ascii="Times New Roman" w:hAnsi="Times New Roman" w:cs="Times New Roman"/>
          <w:sz w:val="24"/>
          <w:szCs w:val="24"/>
        </w:rPr>
        <w:t xml:space="preserve"> nº 224, de 13 de dezembro de 2002</w:t>
      </w:r>
      <w:r w:rsidRPr="00141C43">
        <w:rPr>
          <w:rFonts w:ascii="Times New Roman" w:hAnsi="Times New Roman" w:cs="Times New Roman"/>
          <w:sz w:val="24"/>
          <w:szCs w:val="24"/>
        </w:rPr>
        <w:t xml:space="preserve">, </w:t>
      </w:r>
      <w:r w:rsidR="004F13EA" w:rsidRPr="00141C43">
        <w:rPr>
          <w:rFonts w:ascii="Times New Roman" w:hAnsi="Times New Roman" w:cs="Times New Roman"/>
          <w:sz w:val="24"/>
          <w:szCs w:val="24"/>
        </w:rPr>
        <w:t>e têm se atualizado segundo</w:t>
      </w:r>
      <w:r w:rsidRPr="00141C43">
        <w:rPr>
          <w:rFonts w:ascii="Times New Roman" w:hAnsi="Times New Roman" w:cs="Times New Roman"/>
          <w:sz w:val="24"/>
          <w:szCs w:val="24"/>
        </w:rPr>
        <w:t xml:space="preserve"> os novos pronunciamentos emitidos pelo IASB</w:t>
      </w:r>
      <w:r w:rsidR="00657F80" w:rsidRPr="00141C43">
        <w:rPr>
          <w:rFonts w:ascii="Times New Roman" w:hAnsi="Times New Roman" w:cs="Times New Roman"/>
          <w:sz w:val="24"/>
          <w:szCs w:val="24"/>
        </w:rPr>
        <w:t xml:space="preserve"> (</w:t>
      </w:r>
      <w:r w:rsidR="005269C2">
        <w:rPr>
          <w:rFonts w:ascii="Times New Roman" w:hAnsi="Times New Roman" w:cs="Times New Roman"/>
          <w:sz w:val="24"/>
          <w:szCs w:val="24"/>
        </w:rPr>
        <w:t>Circular n. 3.068</w:t>
      </w:r>
      <w:r w:rsidR="00657F80" w:rsidRPr="00141C43">
        <w:rPr>
          <w:rFonts w:ascii="Times New Roman" w:hAnsi="Times New Roman" w:cs="Times New Roman"/>
          <w:sz w:val="24"/>
          <w:szCs w:val="24"/>
        </w:rPr>
        <w:t>, 2001)</w:t>
      </w:r>
      <w:r w:rsidRPr="00141C43">
        <w:rPr>
          <w:rFonts w:ascii="Times New Roman" w:hAnsi="Times New Roman" w:cs="Times New Roman"/>
          <w:sz w:val="24"/>
          <w:szCs w:val="24"/>
        </w:rPr>
        <w:t>.</w:t>
      </w:r>
    </w:p>
    <w:p w14:paraId="4839B531" w14:textId="12059690" w:rsidR="00ED48A7" w:rsidRPr="00141C43" w:rsidRDefault="00E7354D"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Os instrumentos financeiros para as instituições financeiras são </w:t>
      </w:r>
      <w:r w:rsidR="00E872A7" w:rsidRPr="00141C43">
        <w:rPr>
          <w:rFonts w:ascii="Times New Roman" w:hAnsi="Times New Roman" w:cs="Times New Roman"/>
          <w:sz w:val="24"/>
          <w:szCs w:val="24"/>
        </w:rPr>
        <w:t>colocados</w:t>
      </w:r>
      <w:r w:rsidRPr="00141C43">
        <w:rPr>
          <w:rFonts w:ascii="Times New Roman" w:hAnsi="Times New Roman" w:cs="Times New Roman"/>
          <w:sz w:val="24"/>
          <w:szCs w:val="24"/>
        </w:rPr>
        <w:t xml:space="preserve"> com o atributo de gerenciamento de risco</w:t>
      </w:r>
      <w:r w:rsidR="00503955" w:rsidRPr="00141C43">
        <w:rPr>
          <w:rFonts w:ascii="Times New Roman" w:hAnsi="Times New Roman" w:cs="Times New Roman"/>
          <w:sz w:val="24"/>
          <w:szCs w:val="24"/>
        </w:rPr>
        <w:t xml:space="preserve">, com </w:t>
      </w:r>
      <w:r w:rsidRPr="00141C43">
        <w:rPr>
          <w:rFonts w:ascii="Times New Roman" w:hAnsi="Times New Roman" w:cs="Times New Roman"/>
          <w:sz w:val="24"/>
          <w:szCs w:val="24"/>
        </w:rPr>
        <w:t>categorias para sua mensuração (</w:t>
      </w:r>
      <w:proofErr w:type="spellStart"/>
      <w:r w:rsidRPr="00141C43">
        <w:rPr>
          <w:rFonts w:ascii="Times New Roman" w:hAnsi="Times New Roman" w:cs="Times New Roman"/>
          <w:sz w:val="24"/>
          <w:szCs w:val="24"/>
        </w:rPr>
        <w:t>B</w:t>
      </w:r>
      <w:r w:rsidR="00091776" w:rsidRPr="00141C43">
        <w:rPr>
          <w:rFonts w:ascii="Times New Roman" w:hAnsi="Times New Roman" w:cs="Times New Roman"/>
          <w:sz w:val="24"/>
          <w:szCs w:val="24"/>
        </w:rPr>
        <w:t>ischof</w:t>
      </w:r>
      <w:proofErr w:type="spellEnd"/>
      <w:r w:rsidR="00091776" w:rsidRPr="00141C43">
        <w:rPr>
          <w:rFonts w:ascii="Times New Roman" w:hAnsi="Times New Roman" w:cs="Times New Roman"/>
          <w:sz w:val="24"/>
          <w:szCs w:val="24"/>
        </w:rPr>
        <w:t xml:space="preserve"> &amp;</w:t>
      </w:r>
      <w:r w:rsidR="00A86E34" w:rsidRPr="00141C43">
        <w:rPr>
          <w:rFonts w:ascii="Times New Roman" w:hAnsi="Times New Roman" w:cs="Times New Roman"/>
          <w:sz w:val="24"/>
          <w:szCs w:val="24"/>
        </w:rPr>
        <w:t xml:space="preserve"> E</w:t>
      </w:r>
      <w:r w:rsidR="00091776" w:rsidRPr="00141C43">
        <w:rPr>
          <w:rFonts w:ascii="Times New Roman" w:hAnsi="Times New Roman" w:cs="Times New Roman"/>
          <w:sz w:val="24"/>
          <w:szCs w:val="24"/>
        </w:rPr>
        <w:t>bert</w:t>
      </w:r>
      <w:r w:rsidRPr="00141C43">
        <w:rPr>
          <w:rFonts w:ascii="Times New Roman" w:hAnsi="Times New Roman" w:cs="Times New Roman"/>
          <w:sz w:val="24"/>
          <w:szCs w:val="24"/>
        </w:rPr>
        <w:t>, 2014)</w:t>
      </w:r>
      <w:r w:rsidR="00AB237E" w:rsidRPr="00141C43">
        <w:rPr>
          <w:rFonts w:ascii="Times New Roman" w:hAnsi="Times New Roman" w:cs="Times New Roman"/>
          <w:sz w:val="24"/>
          <w:szCs w:val="24"/>
        </w:rPr>
        <w:t xml:space="preserve">, </w:t>
      </w:r>
      <w:r w:rsidR="00D138AC" w:rsidRPr="00141C43">
        <w:rPr>
          <w:rFonts w:ascii="Times New Roman" w:hAnsi="Times New Roman" w:cs="Times New Roman"/>
          <w:sz w:val="24"/>
          <w:szCs w:val="24"/>
        </w:rPr>
        <w:t xml:space="preserve">e são utilizados </w:t>
      </w:r>
      <w:r w:rsidR="00D1572A" w:rsidRPr="00141C43">
        <w:rPr>
          <w:rFonts w:ascii="Times New Roman" w:hAnsi="Times New Roman" w:cs="Times New Roman"/>
          <w:sz w:val="24"/>
          <w:szCs w:val="24"/>
        </w:rPr>
        <w:t>n</w:t>
      </w:r>
      <w:r w:rsidR="00D138AC" w:rsidRPr="00141C43">
        <w:rPr>
          <w:rFonts w:ascii="Times New Roman" w:hAnsi="Times New Roman" w:cs="Times New Roman"/>
          <w:sz w:val="24"/>
          <w:szCs w:val="24"/>
        </w:rPr>
        <w:t>a cobertura de seus passivos</w:t>
      </w:r>
      <w:r w:rsidRPr="00141C43">
        <w:rPr>
          <w:rFonts w:ascii="Times New Roman" w:hAnsi="Times New Roman" w:cs="Times New Roman"/>
          <w:sz w:val="24"/>
          <w:szCs w:val="24"/>
        </w:rPr>
        <w:t>.</w:t>
      </w:r>
    </w:p>
    <w:p w14:paraId="5C0A1A46" w14:textId="77777777" w:rsidR="00040BB4" w:rsidRPr="00141C43" w:rsidRDefault="00080164" w:rsidP="00D55EBA">
      <w:pPr>
        <w:pStyle w:val="Ttulo2"/>
        <w:spacing w:before="240" w:after="240" w:line="240" w:lineRule="auto"/>
        <w:jc w:val="both"/>
        <w:rPr>
          <w:rFonts w:ascii="Times New Roman" w:hAnsi="Times New Roman" w:cs="Times New Roman"/>
          <w:color w:val="000000" w:themeColor="text1"/>
          <w:sz w:val="24"/>
          <w:szCs w:val="24"/>
        </w:rPr>
      </w:pPr>
      <w:bookmarkStart w:id="5" w:name="_Toc469928717"/>
      <w:r w:rsidRPr="00141C43">
        <w:rPr>
          <w:rFonts w:ascii="Times New Roman" w:hAnsi="Times New Roman" w:cs="Times New Roman"/>
          <w:color w:val="000000" w:themeColor="text1"/>
          <w:sz w:val="24"/>
          <w:szCs w:val="24"/>
        </w:rPr>
        <w:t xml:space="preserve">2.2 – </w:t>
      </w:r>
      <w:r w:rsidR="003A2C3E" w:rsidRPr="00141C43">
        <w:rPr>
          <w:rFonts w:ascii="Times New Roman" w:hAnsi="Times New Roman" w:cs="Times New Roman"/>
          <w:color w:val="000000" w:themeColor="text1"/>
          <w:sz w:val="24"/>
          <w:szCs w:val="24"/>
        </w:rPr>
        <w:t>Reconhecimento</w:t>
      </w:r>
      <w:r w:rsidRPr="00141C43">
        <w:rPr>
          <w:rFonts w:ascii="Times New Roman" w:hAnsi="Times New Roman" w:cs="Times New Roman"/>
          <w:color w:val="000000" w:themeColor="text1"/>
          <w:sz w:val="24"/>
          <w:szCs w:val="24"/>
        </w:rPr>
        <w:t xml:space="preserve"> de Instrumentos Financeiros</w:t>
      </w:r>
      <w:bookmarkEnd w:id="5"/>
    </w:p>
    <w:p w14:paraId="0A9EC7D9" w14:textId="4D08D502" w:rsidR="004235DA" w:rsidRPr="00141C43" w:rsidRDefault="004235DA" w:rsidP="004235DA">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A partir da globalização, as instituições financeiras </w:t>
      </w:r>
      <w:r w:rsidR="008C2295" w:rsidRPr="00141C43">
        <w:rPr>
          <w:rFonts w:ascii="Times New Roman" w:hAnsi="Times New Roman" w:cs="Times New Roman"/>
          <w:sz w:val="24"/>
          <w:szCs w:val="24"/>
        </w:rPr>
        <w:t xml:space="preserve">e seguradoras </w:t>
      </w:r>
      <w:r w:rsidR="004C2ED4" w:rsidRPr="00141C43">
        <w:rPr>
          <w:rFonts w:ascii="Times New Roman" w:hAnsi="Times New Roman" w:cs="Times New Roman"/>
          <w:sz w:val="24"/>
          <w:szCs w:val="24"/>
        </w:rPr>
        <w:t xml:space="preserve">viram </w:t>
      </w:r>
      <w:r w:rsidRPr="00141C43">
        <w:rPr>
          <w:rFonts w:ascii="Times New Roman" w:hAnsi="Times New Roman" w:cs="Times New Roman"/>
          <w:sz w:val="24"/>
          <w:szCs w:val="24"/>
        </w:rPr>
        <w:t>a necessidade de harmonização contábil na base da contabilidade internacional</w:t>
      </w:r>
      <w:r w:rsidR="003F38DA" w:rsidRPr="00141C43">
        <w:rPr>
          <w:rFonts w:ascii="Times New Roman" w:hAnsi="Times New Roman" w:cs="Times New Roman"/>
          <w:sz w:val="24"/>
          <w:szCs w:val="24"/>
        </w:rPr>
        <w:t>,</w:t>
      </w:r>
      <w:r w:rsidRPr="00141C43">
        <w:rPr>
          <w:rFonts w:ascii="Times New Roman" w:hAnsi="Times New Roman" w:cs="Times New Roman"/>
          <w:sz w:val="24"/>
          <w:szCs w:val="24"/>
        </w:rPr>
        <w:t xml:space="preserve"> e consequentemente</w:t>
      </w:r>
      <w:r w:rsidR="003F38DA" w:rsidRPr="00141C43">
        <w:rPr>
          <w:rFonts w:ascii="Times New Roman" w:hAnsi="Times New Roman" w:cs="Times New Roman"/>
          <w:sz w:val="24"/>
          <w:szCs w:val="24"/>
        </w:rPr>
        <w:t>,</w:t>
      </w:r>
      <w:r w:rsidRPr="00141C43">
        <w:rPr>
          <w:rFonts w:ascii="Times New Roman" w:hAnsi="Times New Roman" w:cs="Times New Roman"/>
          <w:sz w:val="24"/>
          <w:szCs w:val="24"/>
        </w:rPr>
        <w:t xml:space="preserve"> em suas demonstrações financeiras, </w:t>
      </w:r>
      <w:r w:rsidR="003F38DA" w:rsidRPr="00141C43">
        <w:rPr>
          <w:rFonts w:ascii="Times New Roman" w:hAnsi="Times New Roman" w:cs="Times New Roman"/>
          <w:sz w:val="24"/>
          <w:szCs w:val="24"/>
        </w:rPr>
        <w:t>para</w:t>
      </w:r>
      <w:r w:rsidRPr="00141C43">
        <w:rPr>
          <w:rFonts w:ascii="Times New Roman" w:hAnsi="Times New Roman" w:cs="Times New Roman"/>
          <w:sz w:val="24"/>
          <w:szCs w:val="24"/>
        </w:rPr>
        <w:t xml:space="preserve"> </w:t>
      </w:r>
      <w:r w:rsidR="008C2295" w:rsidRPr="00141C43">
        <w:rPr>
          <w:rFonts w:ascii="Times New Roman" w:hAnsi="Times New Roman" w:cs="Times New Roman"/>
          <w:sz w:val="24"/>
          <w:szCs w:val="24"/>
        </w:rPr>
        <w:t>uma informação contábil confiável e transparente</w:t>
      </w:r>
    </w:p>
    <w:p w14:paraId="08659033" w14:textId="0160E13D" w:rsidR="004235DA" w:rsidRPr="00141C43" w:rsidRDefault="004235DA" w:rsidP="004235DA">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Como</w:t>
      </w:r>
      <w:r w:rsidR="005A49C4" w:rsidRPr="00141C43">
        <w:rPr>
          <w:rFonts w:ascii="Times New Roman" w:hAnsi="Times New Roman" w:cs="Times New Roman"/>
          <w:sz w:val="24"/>
          <w:szCs w:val="24"/>
        </w:rPr>
        <w:t xml:space="preserve"> exposto por Saraiva, Alves e G</w:t>
      </w:r>
      <w:r w:rsidRPr="00141C43">
        <w:rPr>
          <w:rFonts w:ascii="Times New Roman" w:hAnsi="Times New Roman" w:cs="Times New Roman"/>
          <w:sz w:val="24"/>
          <w:szCs w:val="24"/>
        </w:rPr>
        <w:t>abriel (2015)</w:t>
      </w:r>
      <w:r w:rsidR="004C2ED4" w:rsidRPr="00141C43">
        <w:rPr>
          <w:rFonts w:ascii="Times New Roman" w:hAnsi="Times New Roman" w:cs="Times New Roman"/>
          <w:sz w:val="24"/>
          <w:szCs w:val="24"/>
        </w:rPr>
        <w:t>,</w:t>
      </w:r>
      <w:r w:rsidRPr="00141C43">
        <w:rPr>
          <w:rFonts w:ascii="Times New Roman" w:hAnsi="Times New Roman" w:cs="Times New Roman"/>
          <w:sz w:val="24"/>
          <w:szCs w:val="24"/>
        </w:rPr>
        <w:t xml:space="preserve"> </w:t>
      </w:r>
      <w:r w:rsidR="005A49C4" w:rsidRPr="00141C43">
        <w:rPr>
          <w:rFonts w:ascii="Times New Roman" w:hAnsi="Times New Roman" w:cs="Times New Roman"/>
          <w:sz w:val="24"/>
          <w:szCs w:val="24"/>
        </w:rPr>
        <w:t xml:space="preserve">foi necessário harmonizar a </w:t>
      </w:r>
      <w:r w:rsidRPr="00141C43">
        <w:rPr>
          <w:rFonts w:ascii="Times New Roman" w:hAnsi="Times New Roman" w:cs="Times New Roman"/>
          <w:sz w:val="24"/>
          <w:szCs w:val="24"/>
        </w:rPr>
        <w:t xml:space="preserve">contabilidade internacional com </w:t>
      </w:r>
      <w:r w:rsidR="005A49C4" w:rsidRPr="00141C43">
        <w:rPr>
          <w:rFonts w:ascii="Times New Roman" w:hAnsi="Times New Roman" w:cs="Times New Roman"/>
          <w:sz w:val="24"/>
          <w:szCs w:val="24"/>
        </w:rPr>
        <w:t xml:space="preserve">o </w:t>
      </w:r>
      <w:r w:rsidRPr="00141C43">
        <w:rPr>
          <w:rFonts w:ascii="Times New Roman" w:hAnsi="Times New Roman" w:cs="Times New Roman"/>
          <w:sz w:val="24"/>
          <w:szCs w:val="24"/>
        </w:rPr>
        <w:t xml:space="preserve">resultado da globalização, o funcionamento da economia e os investimentos em diferentes países, ou seja, em bolsas de valores internacionais. </w:t>
      </w:r>
    </w:p>
    <w:p w14:paraId="3B59A921" w14:textId="77777777" w:rsidR="00080164" w:rsidRPr="00141C43" w:rsidRDefault="00080164" w:rsidP="00F075D4">
      <w:pPr>
        <w:spacing w:after="0" w:line="360" w:lineRule="auto"/>
        <w:ind w:firstLine="851"/>
        <w:jc w:val="both"/>
        <w:rPr>
          <w:rFonts w:ascii="Times New Roman" w:hAnsi="Times New Roman" w:cs="Times New Roman"/>
          <w:sz w:val="24"/>
          <w:szCs w:val="24"/>
        </w:rPr>
      </w:pPr>
      <w:r w:rsidRPr="00141C43">
        <w:rPr>
          <w:rFonts w:ascii="Times New Roman" w:hAnsi="Times New Roman" w:cs="Times New Roman"/>
          <w:sz w:val="24"/>
          <w:szCs w:val="24"/>
        </w:rPr>
        <w:t xml:space="preserve">Para que </w:t>
      </w:r>
      <w:r w:rsidR="00E20EAF" w:rsidRPr="00141C43">
        <w:rPr>
          <w:rFonts w:ascii="Times New Roman" w:hAnsi="Times New Roman" w:cs="Times New Roman"/>
          <w:sz w:val="24"/>
          <w:szCs w:val="24"/>
        </w:rPr>
        <w:t>fosse possível</w:t>
      </w:r>
      <w:r w:rsidRPr="00141C43">
        <w:rPr>
          <w:rFonts w:ascii="Times New Roman" w:hAnsi="Times New Roman" w:cs="Times New Roman"/>
          <w:sz w:val="24"/>
          <w:szCs w:val="24"/>
        </w:rPr>
        <w:t xml:space="preserve"> harmonizar a metodologia de reconhecimento e mensuração dos instrumentos financeiros de forma mundial</w:t>
      </w:r>
      <w:r w:rsidR="00466903" w:rsidRPr="00141C43">
        <w:rPr>
          <w:rFonts w:ascii="Times New Roman" w:hAnsi="Times New Roman" w:cs="Times New Roman"/>
          <w:sz w:val="24"/>
          <w:szCs w:val="24"/>
        </w:rPr>
        <w:t>, após a crise de 2008,</w:t>
      </w:r>
      <w:r w:rsidRPr="00141C43">
        <w:rPr>
          <w:rFonts w:ascii="Times New Roman" w:hAnsi="Times New Roman" w:cs="Times New Roman"/>
          <w:sz w:val="24"/>
          <w:szCs w:val="24"/>
        </w:rPr>
        <w:t xml:space="preserve"> o IASB</w:t>
      </w:r>
      <w:r w:rsidR="00466903" w:rsidRPr="00141C43">
        <w:rPr>
          <w:rFonts w:ascii="Times New Roman" w:hAnsi="Times New Roman" w:cs="Times New Roman"/>
          <w:sz w:val="24"/>
          <w:szCs w:val="24"/>
        </w:rPr>
        <w:t xml:space="preserve"> </w:t>
      </w:r>
      <w:r w:rsidR="00CE6328" w:rsidRPr="00141C43">
        <w:rPr>
          <w:rFonts w:ascii="Times New Roman" w:hAnsi="Times New Roman" w:cs="Times New Roman"/>
          <w:sz w:val="24"/>
          <w:szCs w:val="24"/>
        </w:rPr>
        <w:t>ganhou força</w:t>
      </w:r>
      <w:r w:rsidR="00E20EAF" w:rsidRPr="00141C43">
        <w:rPr>
          <w:rFonts w:ascii="Times New Roman" w:hAnsi="Times New Roman" w:cs="Times New Roman"/>
          <w:sz w:val="24"/>
          <w:szCs w:val="24"/>
        </w:rPr>
        <w:t>,</w:t>
      </w:r>
      <w:r w:rsidR="00CE6328" w:rsidRPr="00141C43">
        <w:rPr>
          <w:rFonts w:ascii="Times New Roman" w:hAnsi="Times New Roman" w:cs="Times New Roman"/>
          <w:sz w:val="24"/>
          <w:szCs w:val="24"/>
        </w:rPr>
        <w:t xml:space="preserve"> sendo</w:t>
      </w:r>
      <w:r w:rsidR="00466903" w:rsidRPr="00141C43">
        <w:rPr>
          <w:rFonts w:ascii="Times New Roman" w:hAnsi="Times New Roman" w:cs="Times New Roman"/>
          <w:sz w:val="24"/>
          <w:szCs w:val="24"/>
        </w:rPr>
        <w:t xml:space="preserve"> nomeado um dos p</w:t>
      </w:r>
      <w:r w:rsidR="00CE6328" w:rsidRPr="00141C43">
        <w:rPr>
          <w:rFonts w:ascii="Times New Roman" w:hAnsi="Times New Roman" w:cs="Times New Roman"/>
          <w:sz w:val="24"/>
          <w:szCs w:val="24"/>
        </w:rPr>
        <w:t>rincipais órgãos normatizadores.</w:t>
      </w:r>
      <w:r w:rsidRPr="00141C43">
        <w:rPr>
          <w:rFonts w:ascii="Times New Roman" w:hAnsi="Times New Roman" w:cs="Times New Roman"/>
          <w:sz w:val="24"/>
          <w:szCs w:val="24"/>
        </w:rPr>
        <w:t xml:space="preserve"> </w:t>
      </w:r>
      <w:r w:rsidR="00E20EAF" w:rsidRPr="00141C43">
        <w:rPr>
          <w:rFonts w:ascii="Times New Roman" w:hAnsi="Times New Roman" w:cs="Times New Roman"/>
          <w:sz w:val="24"/>
          <w:szCs w:val="24"/>
        </w:rPr>
        <w:t>Iniciou</w:t>
      </w:r>
      <w:r w:rsidR="00F91DAA" w:rsidRPr="00141C43">
        <w:rPr>
          <w:rFonts w:ascii="Times New Roman" w:hAnsi="Times New Roman" w:cs="Times New Roman"/>
          <w:sz w:val="24"/>
          <w:szCs w:val="24"/>
        </w:rPr>
        <w:t xml:space="preserve"> um projeto para</w:t>
      </w:r>
      <w:r w:rsidR="00466903" w:rsidRPr="00141C43">
        <w:rPr>
          <w:rFonts w:ascii="Times New Roman" w:hAnsi="Times New Roman" w:cs="Times New Roman"/>
          <w:sz w:val="24"/>
          <w:szCs w:val="24"/>
        </w:rPr>
        <w:t xml:space="preserve"> </w:t>
      </w:r>
      <w:r w:rsidR="00CE6328" w:rsidRPr="00141C43">
        <w:rPr>
          <w:rFonts w:ascii="Times New Roman" w:hAnsi="Times New Roman" w:cs="Times New Roman"/>
          <w:sz w:val="24"/>
          <w:szCs w:val="24"/>
        </w:rPr>
        <w:t xml:space="preserve">melhoria da norma de </w:t>
      </w:r>
      <w:r w:rsidR="00466903" w:rsidRPr="00141C43">
        <w:rPr>
          <w:rFonts w:ascii="Times New Roman" w:hAnsi="Times New Roman" w:cs="Times New Roman"/>
          <w:sz w:val="24"/>
          <w:szCs w:val="24"/>
        </w:rPr>
        <w:t>instrumentos financeiros</w:t>
      </w:r>
      <w:r w:rsidR="00601EEB" w:rsidRPr="00141C43">
        <w:rPr>
          <w:rFonts w:ascii="Times New Roman" w:hAnsi="Times New Roman" w:cs="Times New Roman"/>
          <w:sz w:val="24"/>
          <w:szCs w:val="24"/>
        </w:rPr>
        <w:t xml:space="preserve"> que pudesse substitu</w:t>
      </w:r>
      <w:r w:rsidR="00951E4B" w:rsidRPr="00141C43">
        <w:rPr>
          <w:rFonts w:ascii="Times New Roman" w:hAnsi="Times New Roman" w:cs="Times New Roman"/>
          <w:sz w:val="24"/>
          <w:szCs w:val="24"/>
        </w:rPr>
        <w:t>ir a</w:t>
      </w:r>
      <w:r w:rsidR="00601EEB" w:rsidRPr="00141C43">
        <w:rPr>
          <w:rFonts w:ascii="Times New Roman" w:hAnsi="Times New Roman" w:cs="Times New Roman"/>
          <w:sz w:val="24"/>
          <w:szCs w:val="24"/>
        </w:rPr>
        <w:t xml:space="preserve"> IAS 39 – </w:t>
      </w:r>
      <w:r w:rsidR="00601EEB" w:rsidRPr="00141C43">
        <w:rPr>
          <w:rFonts w:ascii="Times New Roman" w:hAnsi="Times New Roman" w:cs="Times New Roman"/>
          <w:i/>
          <w:sz w:val="24"/>
          <w:szCs w:val="24"/>
        </w:rPr>
        <w:t xml:space="preserve">Financial </w:t>
      </w:r>
      <w:proofErr w:type="spellStart"/>
      <w:r w:rsidR="00601EEB" w:rsidRPr="00141C43">
        <w:rPr>
          <w:rFonts w:ascii="Times New Roman" w:hAnsi="Times New Roman" w:cs="Times New Roman"/>
          <w:i/>
          <w:sz w:val="24"/>
          <w:szCs w:val="24"/>
        </w:rPr>
        <w:t>Instruments</w:t>
      </w:r>
      <w:proofErr w:type="spellEnd"/>
      <w:r w:rsidR="00601EEB" w:rsidRPr="00141C43">
        <w:rPr>
          <w:rFonts w:ascii="Times New Roman" w:hAnsi="Times New Roman" w:cs="Times New Roman"/>
          <w:i/>
          <w:sz w:val="24"/>
          <w:szCs w:val="24"/>
        </w:rPr>
        <w:t xml:space="preserve">: </w:t>
      </w:r>
      <w:proofErr w:type="spellStart"/>
      <w:r w:rsidR="00601EEB" w:rsidRPr="00141C43">
        <w:rPr>
          <w:rFonts w:ascii="Times New Roman" w:hAnsi="Times New Roman" w:cs="Times New Roman"/>
          <w:i/>
          <w:sz w:val="24"/>
          <w:szCs w:val="24"/>
        </w:rPr>
        <w:t>Recognation</w:t>
      </w:r>
      <w:proofErr w:type="spellEnd"/>
      <w:r w:rsidR="00601EEB" w:rsidRPr="00141C43">
        <w:rPr>
          <w:rFonts w:ascii="Times New Roman" w:hAnsi="Times New Roman" w:cs="Times New Roman"/>
          <w:i/>
          <w:sz w:val="24"/>
          <w:szCs w:val="24"/>
        </w:rPr>
        <w:t xml:space="preserve"> </w:t>
      </w:r>
      <w:proofErr w:type="spellStart"/>
      <w:r w:rsidR="00601EEB" w:rsidRPr="00141C43">
        <w:rPr>
          <w:rFonts w:ascii="Times New Roman" w:hAnsi="Times New Roman" w:cs="Times New Roman"/>
          <w:i/>
          <w:sz w:val="24"/>
          <w:szCs w:val="24"/>
        </w:rPr>
        <w:t>and</w:t>
      </w:r>
      <w:proofErr w:type="spellEnd"/>
      <w:r w:rsidR="00601EEB" w:rsidRPr="00141C43">
        <w:rPr>
          <w:rFonts w:ascii="Times New Roman" w:hAnsi="Times New Roman" w:cs="Times New Roman"/>
          <w:i/>
          <w:sz w:val="24"/>
          <w:szCs w:val="24"/>
        </w:rPr>
        <w:t xml:space="preserve"> </w:t>
      </w:r>
      <w:proofErr w:type="spellStart"/>
      <w:r w:rsidR="00601EEB" w:rsidRPr="00141C43">
        <w:rPr>
          <w:rFonts w:ascii="Times New Roman" w:hAnsi="Times New Roman" w:cs="Times New Roman"/>
          <w:i/>
          <w:sz w:val="24"/>
          <w:szCs w:val="24"/>
        </w:rPr>
        <w:t>Meansuraments</w:t>
      </w:r>
      <w:proofErr w:type="spellEnd"/>
      <w:r w:rsidR="00E20EAF" w:rsidRPr="00141C43">
        <w:rPr>
          <w:rFonts w:ascii="Times New Roman" w:hAnsi="Times New Roman" w:cs="Times New Roman"/>
          <w:sz w:val="24"/>
          <w:szCs w:val="24"/>
        </w:rPr>
        <w:t xml:space="preserve"> – a qual, </w:t>
      </w:r>
      <w:r w:rsidR="00DD2352" w:rsidRPr="00141C43">
        <w:rPr>
          <w:rFonts w:ascii="Times New Roman" w:hAnsi="Times New Roman" w:cs="Times New Roman"/>
          <w:sz w:val="24"/>
          <w:szCs w:val="24"/>
        </w:rPr>
        <w:t xml:space="preserve">devido sua complexidade </w:t>
      </w:r>
      <w:r w:rsidR="00E20EAF" w:rsidRPr="00141C43">
        <w:rPr>
          <w:rFonts w:ascii="Times New Roman" w:hAnsi="Times New Roman" w:cs="Times New Roman"/>
          <w:sz w:val="24"/>
          <w:szCs w:val="24"/>
        </w:rPr>
        <w:t>de execução</w:t>
      </w:r>
      <w:r w:rsidR="00DD2352" w:rsidRPr="00141C43">
        <w:rPr>
          <w:rFonts w:ascii="Times New Roman" w:hAnsi="Times New Roman" w:cs="Times New Roman"/>
          <w:sz w:val="24"/>
          <w:szCs w:val="24"/>
        </w:rPr>
        <w:t xml:space="preserve"> dentro das instituições financeira, </w:t>
      </w:r>
      <w:r w:rsidR="00E20EAF" w:rsidRPr="00141C43">
        <w:rPr>
          <w:rFonts w:ascii="Times New Roman" w:hAnsi="Times New Roman" w:cs="Times New Roman"/>
          <w:sz w:val="24"/>
          <w:szCs w:val="24"/>
        </w:rPr>
        <w:t>precisou ser alterada, focando mais a transparência e comparabilidade n</w:t>
      </w:r>
      <w:r w:rsidR="00F91DAA" w:rsidRPr="00141C43">
        <w:rPr>
          <w:rFonts w:ascii="Times New Roman" w:hAnsi="Times New Roman" w:cs="Times New Roman"/>
          <w:sz w:val="24"/>
          <w:szCs w:val="24"/>
        </w:rPr>
        <w:t>as</w:t>
      </w:r>
      <w:r w:rsidRPr="00141C43">
        <w:rPr>
          <w:rFonts w:ascii="Times New Roman" w:hAnsi="Times New Roman" w:cs="Times New Roman"/>
          <w:sz w:val="24"/>
          <w:szCs w:val="24"/>
        </w:rPr>
        <w:t xml:space="preserve"> publicações</w:t>
      </w:r>
      <w:r w:rsidR="00F91DAA" w:rsidRPr="00141C43">
        <w:rPr>
          <w:rFonts w:ascii="Times New Roman" w:hAnsi="Times New Roman" w:cs="Times New Roman"/>
          <w:sz w:val="24"/>
          <w:szCs w:val="24"/>
        </w:rPr>
        <w:t xml:space="preserve"> </w:t>
      </w:r>
      <w:r w:rsidR="00E20EAF" w:rsidRPr="00141C43">
        <w:rPr>
          <w:rFonts w:ascii="Times New Roman" w:hAnsi="Times New Roman" w:cs="Times New Roman"/>
          <w:sz w:val="24"/>
          <w:szCs w:val="24"/>
        </w:rPr>
        <w:t xml:space="preserve">– a </w:t>
      </w:r>
      <w:r w:rsidRPr="00141C43">
        <w:rPr>
          <w:rFonts w:ascii="Times New Roman" w:hAnsi="Times New Roman" w:cs="Times New Roman"/>
          <w:sz w:val="24"/>
          <w:szCs w:val="24"/>
        </w:rPr>
        <w:t>IFRS</w:t>
      </w:r>
      <w:r w:rsidR="00DD2352" w:rsidRPr="00141C43">
        <w:rPr>
          <w:rFonts w:ascii="Times New Roman" w:hAnsi="Times New Roman" w:cs="Times New Roman"/>
          <w:sz w:val="24"/>
          <w:szCs w:val="24"/>
        </w:rPr>
        <w:t xml:space="preserve"> 9</w:t>
      </w:r>
      <w:r w:rsidR="00951E4B" w:rsidRPr="00141C43">
        <w:rPr>
          <w:rFonts w:ascii="Times New Roman" w:hAnsi="Times New Roman" w:cs="Times New Roman"/>
          <w:sz w:val="24"/>
          <w:szCs w:val="24"/>
        </w:rPr>
        <w:t xml:space="preserve">, </w:t>
      </w:r>
      <w:r w:rsidR="00E20EAF" w:rsidRPr="00141C43">
        <w:rPr>
          <w:rFonts w:ascii="Times New Roman" w:hAnsi="Times New Roman" w:cs="Times New Roman"/>
          <w:sz w:val="24"/>
          <w:szCs w:val="24"/>
        </w:rPr>
        <w:t>a ser discutida</w:t>
      </w:r>
      <w:r w:rsidR="00951E4B" w:rsidRPr="00141C43">
        <w:rPr>
          <w:rFonts w:ascii="Times New Roman" w:hAnsi="Times New Roman" w:cs="Times New Roman"/>
          <w:sz w:val="24"/>
          <w:szCs w:val="24"/>
        </w:rPr>
        <w:t xml:space="preserve"> no próximo capítulo</w:t>
      </w:r>
      <w:r w:rsidRPr="00141C43">
        <w:rPr>
          <w:rFonts w:ascii="Times New Roman" w:hAnsi="Times New Roman" w:cs="Times New Roman"/>
          <w:sz w:val="24"/>
          <w:szCs w:val="24"/>
        </w:rPr>
        <w:t>.</w:t>
      </w:r>
      <w:r w:rsidR="00466903" w:rsidRPr="00141C43">
        <w:rPr>
          <w:rFonts w:ascii="Times New Roman" w:hAnsi="Times New Roman" w:cs="Times New Roman"/>
          <w:sz w:val="24"/>
          <w:szCs w:val="24"/>
        </w:rPr>
        <w:t xml:space="preserve"> </w:t>
      </w:r>
    </w:p>
    <w:p w14:paraId="566C0566" w14:textId="4A6E21E3" w:rsidR="00AC5846" w:rsidRPr="00141C43" w:rsidRDefault="00AC5846" w:rsidP="00AC5846">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Quando se trata de contabilidade internacional, no Brasil</w:t>
      </w:r>
      <w:r w:rsidR="000B069D" w:rsidRPr="00141C43">
        <w:rPr>
          <w:rFonts w:ascii="Times New Roman" w:hAnsi="Times New Roman" w:cs="Times New Roman"/>
          <w:sz w:val="24"/>
          <w:szCs w:val="24"/>
        </w:rPr>
        <w:t>,</w:t>
      </w:r>
      <w:r w:rsidRPr="00141C43">
        <w:rPr>
          <w:rFonts w:ascii="Times New Roman" w:hAnsi="Times New Roman" w:cs="Times New Roman"/>
          <w:sz w:val="24"/>
          <w:szCs w:val="24"/>
        </w:rPr>
        <w:t xml:space="preserve"> o Banco Central foi o pioneiro a exigir </w:t>
      </w:r>
      <w:r w:rsidR="000B069D" w:rsidRPr="00141C43">
        <w:rPr>
          <w:rFonts w:ascii="Times New Roman" w:hAnsi="Times New Roman" w:cs="Times New Roman"/>
          <w:sz w:val="24"/>
          <w:szCs w:val="24"/>
        </w:rPr>
        <w:t>a adoção às</w:t>
      </w:r>
      <w:r w:rsidRPr="00141C43">
        <w:rPr>
          <w:rFonts w:ascii="Times New Roman" w:hAnsi="Times New Roman" w:cs="Times New Roman"/>
          <w:sz w:val="24"/>
          <w:szCs w:val="24"/>
        </w:rPr>
        <w:t xml:space="preserve"> normas </w:t>
      </w:r>
      <w:r w:rsidR="000B069D" w:rsidRPr="00141C43">
        <w:rPr>
          <w:rFonts w:ascii="Times New Roman" w:hAnsi="Times New Roman" w:cs="Times New Roman"/>
          <w:sz w:val="24"/>
          <w:szCs w:val="24"/>
        </w:rPr>
        <w:t>do</w:t>
      </w:r>
      <w:r w:rsidRPr="00141C43">
        <w:rPr>
          <w:rFonts w:ascii="Times New Roman" w:hAnsi="Times New Roman" w:cs="Times New Roman"/>
          <w:sz w:val="24"/>
          <w:szCs w:val="24"/>
        </w:rPr>
        <w:t xml:space="preserve"> IASB</w:t>
      </w:r>
      <w:r w:rsidR="000B069D" w:rsidRPr="00141C43">
        <w:rPr>
          <w:rFonts w:ascii="Times New Roman" w:hAnsi="Times New Roman" w:cs="Times New Roman"/>
          <w:sz w:val="24"/>
          <w:szCs w:val="24"/>
        </w:rPr>
        <w:t>, pelo</w:t>
      </w:r>
      <w:r w:rsidRPr="00141C43">
        <w:rPr>
          <w:rFonts w:ascii="Times New Roman" w:hAnsi="Times New Roman" w:cs="Times New Roman"/>
          <w:sz w:val="24"/>
          <w:szCs w:val="24"/>
        </w:rPr>
        <w:t xml:space="preserve"> comunicado nº 14.259</w:t>
      </w:r>
      <w:r w:rsidR="000B069D" w:rsidRPr="00141C43">
        <w:rPr>
          <w:rFonts w:ascii="Times New Roman" w:hAnsi="Times New Roman" w:cs="Times New Roman"/>
          <w:sz w:val="24"/>
          <w:szCs w:val="24"/>
        </w:rPr>
        <w:t>,</w:t>
      </w:r>
      <w:r w:rsidRPr="00141C43">
        <w:rPr>
          <w:rFonts w:ascii="Times New Roman" w:hAnsi="Times New Roman" w:cs="Times New Roman"/>
          <w:sz w:val="24"/>
          <w:szCs w:val="24"/>
        </w:rPr>
        <w:t xml:space="preserve"> de 10 de março de 2006</w:t>
      </w:r>
      <w:r w:rsidR="000B069D" w:rsidRPr="00141C43">
        <w:rPr>
          <w:rFonts w:ascii="Times New Roman" w:hAnsi="Times New Roman" w:cs="Times New Roman"/>
          <w:sz w:val="24"/>
          <w:szCs w:val="24"/>
        </w:rPr>
        <w:t>,</w:t>
      </w:r>
      <w:r w:rsidRPr="00141C43">
        <w:rPr>
          <w:rFonts w:ascii="Times New Roman" w:hAnsi="Times New Roman" w:cs="Times New Roman"/>
          <w:sz w:val="24"/>
          <w:szCs w:val="24"/>
        </w:rPr>
        <w:t xml:space="preserve"> para as publicações consolidadas a partir de 31 de dezembro de </w:t>
      </w:r>
      <w:proofErr w:type="gramStart"/>
      <w:r w:rsidRPr="00141C43">
        <w:rPr>
          <w:rFonts w:ascii="Times New Roman" w:hAnsi="Times New Roman" w:cs="Times New Roman"/>
          <w:sz w:val="24"/>
          <w:szCs w:val="24"/>
        </w:rPr>
        <w:t>2010</w:t>
      </w:r>
      <w:r w:rsidR="005269C2">
        <w:rPr>
          <w:rFonts w:ascii="Times New Roman" w:hAnsi="Times New Roman" w:cs="Times New Roman"/>
          <w:sz w:val="24"/>
          <w:szCs w:val="24"/>
        </w:rPr>
        <w:t>( Comunicado</w:t>
      </w:r>
      <w:proofErr w:type="gramEnd"/>
      <w:r w:rsidR="005269C2">
        <w:rPr>
          <w:rFonts w:ascii="Times New Roman" w:hAnsi="Times New Roman" w:cs="Times New Roman"/>
          <w:sz w:val="24"/>
          <w:szCs w:val="24"/>
        </w:rPr>
        <w:t xml:space="preserve"> n. 14.259, 2006)</w:t>
      </w:r>
      <w:r w:rsidR="000B069D" w:rsidRPr="00141C43">
        <w:rPr>
          <w:rFonts w:ascii="Times New Roman" w:hAnsi="Times New Roman" w:cs="Times New Roman"/>
          <w:sz w:val="24"/>
          <w:szCs w:val="24"/>
        </w:rPr>
        <w:t xml:space="preserve">. Nesse cenário, </w:t>
      </w:r>
      <w:r w:rsidRPr="00141C43">
        <w:rPr>
          <w:rFonts w:ascii="Times New Roman" w:hAnsi="Times New Roman" w:cs="Times New Roman"/>
          <w:sz w:val="24"/>
          <w:szCs w:val="24"/>
        </w:rPr>
        <w:t xml:space="preserve">as demonstrações financeiras </w:t>
      </w:r>
      <w:r w:rsidR="00307E77" w:rsidRPr="00141C43">
        <w:rPr>
          <w:rFonts w:ascii="Times New Roman" w:hAnsi="Times New Roman" w:cs="Times New Roman"/>
          <w:sz w:val="24"/>
          <w:szCs w:val="24"/>
        </w:rPr>
        <w:t>devem ser</w:t>
      </w:r>
      <w:r w:rsidRPr="00141C43">
        <w:rPr>
          <w:rFonts w:ascii="Times New Roman" w:hAnsi="Times New Roman" w:cs="Times New Roman"/>
          <w:sz w:val="24"/>
          <w:szCs w:val="24"/>
        </w:rPr>
        <w:t xml:space="preserve"> consolidadas</w:t>
      </w:r>
      <w:r w:rsidR="000B069D" w:rsidRPr="00141C43">
        <w:rPr>
          <w:rFonts w:ascii="Times New Roman" w:hAnsi="Times New Roman" w:cs="Times New Roman"/>
          <w:sz w:val="24"/>
          <w:szCs w:val="24"/>
        </w:rPr>
        <w:t>,</w:t>
      </w:r>
      <w:r w:rsidRPr="00141C43">
        <w:rPr>
          <w:rFonts w:ascii="Times New Roman" w:hAnsi="Times New Roman" w:cs="Times New Roman"/>
          <w:sz w:val="24"/>
          <w:szCs w:val="24"/>
        </w:rPr>
        <w:t xml:space="preserve"> não mais individuais</w:t>
      </w:r>
      <w:r w:rsidR="000B069D" w:rsidRPr="00141C43">
        <w:rPr>
          <w:rFonts w:ascii="Times New Roman" w:hAnsi="Times New Roman" w:cs="Times New Roman"/>
          <w:sz w:val="24"/>
          <w:szCs w:val="24"/>
        </w:rPr>
        <w:t>. C</w:t>
      </w:r>
      <w:r w:rsidR="00EF6068" w:rsidRPr="00141C43">
        <w:rPr>
          <w:rFonts w:ascii="Times New Roman" w:hAnsi="Times New Roman" w:cs="Times New Roman"/>
          <w:sz w:val="24"/>
          <w:szCs w:val="24"/>
        </w:rPr>
        <w:t>onsequentemente</w:t>
      </w:r>
      <w:r w:rsidR="000B069D" w:rsidRPr="00141C43">
        <w:rPr>
          <w:rFonts w:ascii="Times New Roman" w:hAnsi="Times New Roman" w:cs="Times New Roman"/>
          <w:sz w:val="24"/>
          <w:szCs w:val="24"/>
        </w:rPr>
        <w:t>,</w:t>
      </w:r>
      <w:r w:rsidR="00EF6068" w:rsidRPr="00141C43">
        <w:rPr>
          <w:rFonts w:ascii="Times New Roman" w:hAnsi="Times New Roman" w:cs="Times New Roman"/>
          <w:sz w:val="24"/>
          <w:szCs w:val="24"/>
        </w:rPr>
        <w:t xml:space="preserve"> as seguradoras precisaram se adequar </w:t>
      </w:r>
      <w:r w:rsidR="000B069D" w:rsidRPr="00141C43">
        <w:rPr>
          <w:rFonts w:ascii="Times New Roman" w:hAnsi="Times New Roman" w:cs="Times New Roman"/>
          <w:sz w:val="24"/>
          <w:szCs w:val="24"/>
        </w:rPr>
        <w:t>à</w:t>
      </w:r>
      <w:r w:rsidR="00EF6068" w:rsidRPr="00141C43">
        <w:rPr>
          <w:rFonts w:ascii="Times New Roman" w:hAnsi="Times New Roman" w:cs="Times New Roman"/>
          <w:sz w:val="24"/>
          <w:szCs w:val="24"/>
        </w:rPr>
        <w:t xml:space="preserve">s normas e </w:t>
      </w:r>
      <w:r w:rsidR="00307E77" w:rsidRPr="00141C43">
        <w:rPr>
          <w:rFonts w:ascii="Times New Roman" w:hAnsi="Times New Roman" w:cs="Times New Roman"/>
          <w:sz w:val="24"/>
          <w:szCs w:val="24"/>
        </w:rPr>
        <w:t>seguir o novo padrão da</w:t>
      </w:r>
      <w:r w:rsidR="00EF6068" w:rsidRPr="00141C43">
        <w:rPr>
          <w:rFonts w:ascii="Times New Roman" w:hAnsi="Times New Roman" w:cs="Times New Roman"/>
          <w:sz w:val="24"/>
          <w:szCs w:val="24"/>
        </w:rPr>
        <w:t xml:space="preserve"> consolidada, já que o mercado segurador </w:t>
      </w:r>
      <w:r w:rsidR="000B069D" w:rsidRPr="00141C43">
        <w:rPr>
          <w:rFonts w:ascii="Times New Roman" w:hAnsi="Times New Roman" w:cs="Times New Roman"/>
          <w:sz w:val="24"/>
          <w:szCs w:val="24"/>
        </w:rPr>
        <w:t>tem</w:t>
      </w:r>
      <w:r w:rsidR="00EF6068" w:rsidRPr="00141C43">
        <w:rPr>
          <w:rFonts w:ascii="Times New Roman" w:hAnsi="Times New Roman" w:cs="Times New Roman"/>
          <w:sz w:val="24"/>
          <w:szCs w:val="24"/>
        </w:rPr>
        <w:t xml:space="preserve"> uma instituição financeira para </w:t>
      </w:r>
      <w:r w:rsidR="000B069D" w:rsidRPr="00141C43">
        <w:rPr>
          <w:rFonts w:ascii="Times New Roman" w:hAnsi="Times New Roman" w:cs="Times New Roman"/>
          <w:sz w:val="24"/>
          <w:szCs w:val="24"/>
        </w:rPr>
        <w:t>gerir</w:t>
      </w:r>
      <w:r w:rsidR="00EF6068" w:rsidRPr="00141C43">
        <w:rPr>
          <w:rFonts w:ascii="Times New Roman" w:hAnsi="Times New Roman" w:cs="Times New Roman"/>
          <w:sz w:val="24"/>
          <w:szCs w:val="24"/>
        </w:rPr>
        <w:t xml:space="preserve"> seus instrumentos financeiros</w:t>
      </w:r>
      <w:r w:rsidR="000B069D" w:rsidRPr="00141C43">
        <w:rPr>
          <w:rFonts w:ascii="Times New Roman" w:hAnsi="Times New Roman" w:cs="Times New Roman"/>
          <w:sz w:val="24"/>
          <w:szCs w:val="24"/>
        </w:rPr>
        <w:t xml:space="preserve"> - </w:t>
      </w:r>
      <w:r w:rsidR="005619AE" w:rsidRPr="00141C43">
        <w:rPr>
          <w:rFonts w:ascii="Times New Roman" w:hAnsi="Times New Roman" w:cs="Times New Roman"/>
          <w:sz w:val="24"/>
          <w:szCs w:val="24"/>
        </w:rPr>
        <w:t xml:space="preserve"> circular nº 483</w:t>
      </w:r>
      <w:r w:rsidR="00307E77" w:rsidRPr="00141C43">
        <w:rPr>
          <w:rFonts w:ascii="Times New Roman" w:hAnsi="Times New Roman" w:cs="Times New Roman"/>
          <w:sz w:val="24"/>
          <w:szCs w:val="24"/>
        </w:rPr>
        <w:t>,</w:t>
      </w:r>
      <w:r w:rsidR="005619AE" w:rsidRPr="00141C43">
        <w:rPr>
          <w:rFonts w:ascii="Times New Roman" w:hAnsi="Times New Roman" w:cs="Times New Roman"/>
          <w:sz w:val="24"/>
          <w:szCs w:val="24"/>
        </w:rPr>
        <w:t xml:space="preserve"> de 06 de janeiro de 2014 (</w:t>
      </w:r>
      <w:r w:rsidR="005269C2">
        <w:rPr>
          <w:rFonts w:ascii="Times New Roman" w:hAnsi="Times New Roman" w:cs="Times New Roman"/>
          <w:sz w:val="24"/>
          <w:szCs w:val="24"/>
        </w:rPr>
        <w:t>Circular n. 483</w:t>
      </w:r>
      <w:r w:rsidR="005619AE" w:rsidRPr="00141C43">
        <w:rPr>
          <w:rFonts w:ascii="Times New Roman" w:hAnsi="Times New Roman" w:cs="Times New Roman"/>
          <w:sz w:val="24"/>
          <w:szCs w:val="24"/>
        </w:rPr>
        <w:t>, 2014)</w:t>
      </w:r>
      <w:r w:rsidR="000B069D" w:rsidRPr="00141C43">
        <w:rPr>
          <w:rFonts w:ascii="Times New Roman" w:hAnsi="Times New Roman" w:cs="Times New Roman"/>
          <w:sz w:val="24"/>
          <w:szCs w:val="24"/>
        </w:rPr>
        <w:t>, ex</w:t>
      </w:r>
      <w:r w:rsidR="00EF6068" w:rsidRPr="00141C43">
        <w:rPr>
          <w:rFonts w:ascii="Times New Roman" w:hAnsi="Times New Roman" w:cs="Times New Roman"/>
          <w:sz w:val="24"/>
          <w:szCs w:val="24"/>
        </w:rPr>
        <w:t>ecutando a cobertura de seus passivos</w:t>
      </w:r>
      <w:r w:rsidRPr="00141C43">
        <w:rPr>
          <w:rFonts w:ascii="Times New Roman" w:hAnsi="Times New Roman" w:cs="Times New Roman"/>
          <w:sz w:val="24"/>
          <w:szCs w:val="24"/>
        </w:rPr>
        <w:t>.</w:t>
      </w:r>
    </w:p>
    <w:p w14:paraId="75DAB689" w14:textId="4EAC16E1" w:rsidR="00DB1C8D" w:rsidRPr="00141C43" w:rsidRDefault="00DB1C8D" w:rsidP="00DB1C8D">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O reconhecimento e a mensuração</w:t>
      </w:r>
      <w:r w:rsidR="005E014A" w:rsidRPr="00141C43">
        <w:rPr>
          <w:rFonts w:ascii="Times New Roman" w:hAnsi="Times New Roman" w:cs="Times New Roman"/>
          <w:sz w:val="24"/>
          <w:szCs w:val="24"/>
        </w:rPr>
        <w:t xml:space="preserve"> são</w:t>
      </w:r>
      <w:r w:rsidR="00271F32" w:rsidRPr="00141C43">
        <w:rPr>
          <w:rFonts w:ascii="Times New Roman" w:hAnsi="Times New Roman" w:cs="Times New Roman"/>
          <w:sz w:val="24"/>
          <w:szCs w:val="24"/>
        </w:rPr>
        <w:t>,</w:t>
      </w:r>
      <w:r w:rsidR="005E014A" w:rsidRPr="00141C43">
        <w:rPr>
          <w:rFonts w:ascii="Times New Roman" w:hAnsi="Times New Roman" w:cs="Times New Roman"/>
          <w:sz w:val="24"/>
          <w:szCs w:val="24"/>
        </w:rPr>
        <w:t xml:space="preserve"> historicamente</w:t>
      </w:r>
      <w:r w:rsidR="00271F32" w:rsidRPr="00141C43">
        <w:rPr>
          <w:rFonts w:ascii="Times New Roman" w:hAnsi="Times New Roman" w:cs="Times New Roman"/>
          <w:sz w:val="24"/>
          <w:szCs w:val="24"/>
        </w:rPr>
        <w:t>,</w:t>
      </w:r>
      <w:r w:rsidR="005E014A" w:rsidRPr="00141C43">
        <w:rPr>
          <w:rFonts w:ascii="Times New Roman" w:hAnsi="Times New Roman" w:cs="Times New Roman"/>
          <w:sz w:val="24"/>
          <w:szCs w:val="24"/>
        </w:rPr>
        <w:t xml:space="preserve"> um dos</w:t>
      </w:r>
      <w:r w:rsidRPr="00141C43">
        <w:rPr>
          <w:rFonts w:ascii="Times New Roman" w:hAnsi="Times New Roman" w:cs="Times New Roman"/>
          <w:sz w:val="24"/>
          <w:szCs w:val="24"/>
        </w:rPr>
        <w:t xml:space="preserve"> grandes problemas enfrentados pelas </w:t>
      </w:r>
      <w:r w:rsidR="005619AE" w:rsidRPr="00141C43">
        <w:rPr>
          <w:rFonts w:ascii="Times New Roman" w:hAnsi="Times New Roman" w:cs="Times New Roman"/>
          <w:sz w:val="24"/>
          <w:szCs w:val="24"/>
        </w:rPr>
        <w:t>seguradoras</w:t>
      </w:r>
      <w:r w:rsidR="00D40869" w:rsidRPr="00141C43">
        <w:rPr>
          <w:rFonts w:ascii="Times New Roman" w:hAnsi="Times New Roman" w:cs="Times New Roman"/>
          <w:sz w:val="24"/>
          <w:szCs w:val="24"/>
        </w:rPr>
        <w:t xml:space="preserve"> com seus TVM</w:t>
      </w:r>
      <w:r w:rsidRPr="00141C43">
        <w:rPr>
          <w:rFonts w:ascii="Times New Roman" w:hAnsi="Times New Roman" w:cs="Times New Roman"/>
          <w:sz w:val="24"/>
          <w:szCs w:val="24"/>
        </w:rPr>
        <w:t>, pois estavam à disposição de dois tipos de reconhecimento: um pelo valor de mercado (valor justo)</w:t>
      </w:r>
      <w:r w:rsidR="00271F32" w:rsidRPr="00141C43">
        <w:rPr>
          <w:rFonts w:ascii="Times New Roman" w:hAnsi="Times New Roman" w:cs="Times New Roman"/>
          <w:sz w:val="24"/>
          <w:szCs w:val="24"/>
        </w:rPr>
        <w:t>,</w:t>
      </w:r>
      <w:r w:rsidRPr="00141C43">
        <w:rPr>
          <w:rFonts w:ascii="Times New Roman" w:hAnsi="Times New Roman" w:cs="Times New Roman"/>
          <w:sz w:val="24"/>
          <w:szCs w:val="24"/>
        </w:rPr>
        <w:t xml:space="preserve"> e o outro pelo custo histórico (F</w:t>
      </w:r>
      <w:r w:rsidR="009F62F9" w:rsidRPr="00141C43">
        <w:rPr>
          <w:rFonts w:ascii="Times New Roman" w:hAnsi="Times New Roman" w:cs="Times New Roman"/>
          <w:sz w:val="24"/>
          <w:szCs w:val="24"/>
        </w:rPr>
        <w:t>uji</w:t>
      </w:r>
      <w:r w:rsidRPr="00141C43">
        <w:rPr>
          <w:rFonts w:ascii="Times New Roman" w:hAnsi="Times New Roman" w:cs="Times New Roman"/>
          <w:sz w:val="24"/>
          <w:szCs w:val="24"/>
        </w:rPr>
        <w:t>, 2008). Es</w:t>
      </w:r>
      <w:r w:rsidR="00316E40" w:rsidRPr="00141C43">
        <w:rPr>
          <w:rFonts w:ascii="Times New Roman" w:hAnsi="Times New Roman" w:cs="Times New Roman"/>
          <w:sz w:val="24"/>
          <w:szCs w:val="24"/>
        </w:rPr>
        <w:t>s</w:t>
      </w:r>
      <w:r w:rsidRPr="00141C43">
        <w:rPr>
          <w:rFonts w:ascii="Times New Roman" w:hAnsi="Times New Roman" w:cs="Times New Roman"/>
          <w:sz w:val="24"/>
          <w:szCs w:val="24"/>
        </w:rPr>
        <w:t xml:space="preserve">a abordagem vinha sendo trazida pelos </w:t>
      </w:r>
      <w:r w:rsidR="00A10E93" w:rsidRPr="00141C43">
        <w:rPr>
          <w:rFonts w:ascii="Times New Roman" w:hAnsi="Times New Roman" w:cs="Times New Roman"/>
          <w:sz w:val="24"/>
          <w:szCs w:val="24"/>
        </w:rPr>
        <w:t>EUA</w:t>
      </w:r>
      <w:r w:rsidRPr="00141C43">
        <w:rPr>
          <w:rFonts w:ascii="Times New Roman" w:hAnsi="Times New Roman" w:cs="Times New Roman"/>
          <w:sz w:val="24"/>
          <w:szCs w:val="24"/>
        </w:rPr>
        <w:t xml:space="preserve"> até o FASB na década de </w:t>
      </w:r>
      <w:r w:rsidR="00271F32" w:rsidRPr="00141C43">
        <w:rPr>
          <w:rFonts w:ascii="Times New Roman" w:hAnsi="Times New Roman" w:cs="Times New Roman"/>
          <w:sz w:val="24"/>
          <w:szCs w:val="24"/>
        </w:rPr>
        <w:t>19</w:t>
      </w:r>
      <w:r w:rsidRPr="00141C43">
        <w:rPr>
          <w:rFonts w:ascii="Times New Roman" w:hAnsi="Times New Roman" w:cs="Times New Roman"/>
          <w:sz w:val="24"/>
          <w:szCs w:val="24"/>
        </w:rPr>
        <w:t>90</w:t>
      </w:r>
      <w:r w:rsidR="00271F32" w:rsidRPr="00141C43">
        <w:rPr>
          <w:rFonts w:ascii="Times New Roman" w:hAnsi="Times New Roman" w:cs="Times New Roman"/>
          <w:sz w:val="24"/>
          <w:szCs w:val="24"/>
        </w:rPr>
        <w:t>, o qual</w:t>
      </w:r>
      <w:r w:rsidRPr="00141C43">
        <w:rPr>
          <w:rFonts w:ascii="Times New Roman" w:hAnsi="Times New Roman" w:cs="Times New Roman"/>
          <w:sz w:val="24"/>
          <w:szCs w:val="24"/>
        </w:rPr>
        <w:t xml:space="preserve"> fez três pronunciamentos: </w:t>
      </w:r>
      <w:proofErr w:type="spellStart"/>
      <w:r w:rsidRPr="00141C43">
        <w:rPr>
          <w:rFonts w:ascii="Times New Roman" w:hAnsi="Times New Roman" w:cs="Times New Roman"/>
          <w:i/>
          <w:sz w:val="24"/>
          <w:szCs w:val="24"/>
        </w:rPr>
        <w:t>Statement</w:t>
      </w:r>
      <w:proofErr w:type="spellEnd"/>
      <w:r w:rsidRPr="00141C43">
        <w:rPr>
          <w:rFonts w:ascii="Times New Roman" w:hAnsi="Times New Roman" w:cs="Times New Roman"/>
          <w:i/>
          <w:sz w:val="24"/>
          <w:szCs w:val="24"/>
        </w:rPr>
        <w:t xml:space="preserve"> </w:t>
      </w:r>
      <w:proofErr w:type="spellStart"/>
      <w:r w:rsidRPr="00141C43">
        <w:rPr>
          <w:rFonts w:ascii="Times New Roman" w:hAnsi="Times New Roman" w:cs="Times New Roman"/>
          <w:i/>
          <w:sz w:val="24"/>
          <w:szCs w:val="24"/>
        </w:rPr>
        <w:t>of</w:t>
      </w:r>
      <w:proofErr w:type="spellEnd"/>
      <w:r w:rsidRPr="00141C43">
        <w:rPr>
          <w:rFonts w:ascii="Times New Roman" w:hAnsi="Times New Roman" w:cs="Times New Roman"/>
          <w:i/>
          <w:sz w:val="24"/>
          <w:szCs w:val="24"/>
        </w:rPr>
        <w:t xml:space="preserve"> Financial </w:t>
      </w:r>
      <w:proofErr w:type="spellStart"/>
      <w:r w:rsidRPr="00141C43">
        <w:rPr>
          <w:rFonts w:ascii="Times New Roman" w:hAnsi="Times New Roman" w:cs="Times New Roman"/>
          <w:i/>
          <w:sz w:val="24"/>
          <w:szCs w:val="24"/>
        </w:rPr>
        <w:t>Accounting</w:t>
      </w:r>
      <w:proofErr w:type="spellEnd"/>
      <w:r w:rsidRPr="00141C43">
        <w:rPr>
          <w:rFonts w:ascii="Times New Roman" w:hAnsi="Times New Roman" w:cs="Times New Roman"/>
          <w:i/>
          <w:sz w:val="24"/>
          <w:szCs w:val="24"/>
        </w:rPr>
        <w:t xml:space="preserve"> Standards – </w:t>
      </w:r>
      <w:r w:rsidRPr="00141C43">
        <w:rPr>
          <w:rFonts w:ascii="Times New Roman" w:hAnsi="Times New Roman" w:cs="Times New Roman"/>
          <w:sz w:val="24"/>
          <w:szCs w:val="24"/>
        </w:rPr>
        <w:t>SFAS, o SFAS 107 (1991), SFAS 115 (1993) e o SFAS 133 (1998).</w:t>
      </w:r>
    </w:p>
    <w:p w14:paraId="7F3A4345" w14:textId="12B90FC2" w:rsidR="00954D4B" w:rsidRPr="00141C43" w:rsidRDefault="001C162A" w:rsidP="00DB1C8D">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Em</w:t>
      </w:r>
      <w:r w:rsidR="00DB1C8D" w:rsidRPr="00141C43">
        <w:rPr>
          <w:rFonts w:ascii="Times New Roman" w:hAnsi="Times New Roman" w:cs="Times New Roman"/>
          <w:sz w:val="24"/>
          <w:szCs w:val="24"/>
        </w:rPr>
        <w:t xml:space="preserve"> 2007, os EUA</w:t>
      </w:r>
      <w:r w:rsidRPr="00141C43">
        <w:rPr>
          <w:rFonts w:ascii="Times New Roman" w:hAnsi="Times New Roman" w:cs="Times New Roman"/>
          <w:sz w:val="24"/>
          <w:szCs w:val="24"/>
        </w:rPr>
        <w:t>,</w:t>
      </w:r>
      <w:r w:rsidR="00DB1C8D" w:rsidRPr="00141C43">
        <w:rPr>
          <w:rFonts w:ascii="Times New Roman" w:hAnsi="Times New Roman" w:cs="Times New Roman"/>
          <w:sz w:val="24"/>
          <w:szCs w:val="24"/>
        </w:rPr>
        <w:t xml:space="preserve"> preocupados com as demonstrações financeiras para investidores</w:t>
      </w:r>
      <w:r w:rsidRPr="00141C43">
        <w:rPr>
          <w:rFonts w:ascii="Times New Roman" w:hAnsi="Times New Roman" w:cs="Times New Roman"/>
          <w:sz w:val="24"/>
          <w:szCs w:val="24"/>
        </w:rPr>
        <w:t>,</w:t>
      </w:r>
      <w:r w:rsidR="00DB1C8D" w:rsidRPr="00141C43">
        <w:rPr>
          <w:rFonts w:ascii="Times New Roman" w:hAnsi="Times New Roman" w:cs="Times New Roman"/>
          <w:sz w:val="24"/>
          <w:szCs w:val="24"/>
        </w:rPr>
        <w:t xml:space="preserve"> publicaram o SFAS 159 </w:t>
      </w:r>
      <w:r w:rsidR="00DB1C8D" w:rsidRPr="00141C43">
        <w:rPr>
          <w:rFonts w:ascii="Times New Roman" w:hAnsi="Times New Roman" w:cs="Times New Roman"/>
          <w:i/>
          <w:sz w:val="24"/>
          <w:szCs w:val="24"/>
        </w:rPr>
        <w:t xml:space="preserve">Fair </w:t>
      </w:r>
      <w:proofErr w:type="spellStart"/>
      <w:r w:rsidR="00DB1C8D" w:rsidRPr="00141C43">
        <w:rPr>
          <w:rFonts w:ascii="Times New Roman" w:hAnsi="Times New Roman" w:cs="Times New Roman"/>
          <w:i/>
          <w:sz w:val="24"/>
          <w:szCs w:val="24"/>
        </w:rPr>
        <w:t>Value</w:t>
      </w:r>
      <w:proofErr w:type="spellEnd"/>
      <w:r w:rsidR="00DB1C8D" w:rsidRPr="00141C43">
        <w:rPr>
          <w:rFonts w:ascii="Times New Roman" w:hAnsi="Times New Roman" w:cs="Times New Roman"/>
          <w:i/>
          <w:sz w:val="24"/>
          <w:szCs w:val="24"/>
        </w:rPr>
        <w:t xml:space="preserve"> </w:t>
      </w:r>
      <w:proofErr w:type="spellStart"/>
      <w:r w:rsidR="00DB1C8D" w:rsidRPr="00141C43">
        <w:rPr>
          <w:rFonts w:ascii="Times New Roman" w:hAnsi="Times New Roman" w:cs="Times New Roman"/>
          <w:i/>
          <w:sz w:val="24"/>
          <w:szCs w:val="24"/>
        </w:rPr>
        <w:t>Option</w:t>
      </w:r>
      <w:proofErr w:type="spellEnd"/>
      <w:r w:rsidR="00DB1C8D" w:rsidRPr="00141C43">
        <w:rPr>
          <w:rFonts w:ascii="Times New Roman" w:hAnsi="Times New Roman" w:cs="Times New Roman"/>
          <w:i/>
          <w:sz w:val="24"/>
          <w:szCs w:val="24"/>
        </w:rPr>
        <w:t xml:space="preserve"> for </w:t>
      </w:r>
      <w:proofErr w:type="spellStart"/>
      <w:r w:rsidR="00DB1C8D" w:rsidRPr="00141C43">
        <w:rPr>
          <w:rFonts w:ascii="Times New Roman" w:hAnsi="Times New Roman" w:cs="Times New Roman"/>
          <w:i/>
          <w:sz w:val="24"/>
          <w:szCs w:val="24"/>
        </w:rPr>
        <w:t>Assets</w:t>
      </w:r>
      <w:proofErr w:type="spellEnd"/>
      <w:r w:rsidR="00DB1C8D" w:rsidRPr="00141C43">
        <w:rPr>
          <w:rFonts w:ascii="Times New Roman" w:hAnsi="Times New Roman" w:cs="Times New Roman"/>
          <w:i/>
          <w:sz w:val="24"/>
          <w:szCs w:val="24"/>
        </w:rPr>
        <w:t xml:space="preserve"> </w:t>
      </w:r>
      <w:proofErr w:type="spellStart"/>
      <w:r w:rsidR="00DB1C8D" w:rsidRPr="00141C43">
        <w:rPr>
          <w:rFonts w:ascii="Times New Roman" w:hAnsi="Times New Roman" w:cs="Times New Roman"/>
          <w:i/>
          <w:sz w:val="24"/>
          <w:szCs w:val="24"/>
        </w:rPr>
        <w:t>and</w:t>
      </w:r>
      <w:proofErr w:type="spellEnd"/>
      <w:r w:rsidR="00DB1C8D" w:rsidRPr="00141C43">
        <w:rPr>
          <w:rFonts w:ascii="Times New Roman" w:hAnsi="Times New Roman" w:cs="Times New Roman"/>
          <w:i/>
          <w:sz w:val="24"/>
          <w:szCs w:val="24"/>
        </w:rPr>
        <w:t xml:space="preserve"> Financial </w:t>
      </w:r>
      <w:proofErr w:type="spellStart"/>
      <w:r w:rsidR="00DB1C8D" w:rsidRPr="00141C43">
        <w:rPr>
          <w:rFonts w:ascii="Times New Roman" w:hAnsi="Times New Roman" w:cs="Times New Roman"/>
          <w:i/>
          <w:sz w:val="24"/>
          <w:szCs w:val="24"/>
        </w:rPr>
        <w:t>Liabilities</w:t>
      </w:r>
      <w:proofErr w:type="spellEnd"/>
      <w:r w:rsidRPr="00141C43">
        <w:rPr>
          <w:rFonts w:ascii="Times New Roman" w:hAnsi="Times New Roman" w:cs="Times New Roman"/>
          <w:i/>
          <w:sz w:val="24"/>
          <w:szCs w:val="24"/>
        </w:rPr>
        <w:t>,</w:t>
      </w:r>
      <w:r w:rsidR="00E701BD" w:rsidRPr="00141C43">
        <w:rPr>
          <w:rFonts w:ascii="Times New Roman" w:hAnsi="Times New Roman" w:cs="Times New Roman"/>
          <w:sz w:val="24"/>
          <w:szCs w:val="24"/>
        </w:rPr>
        <w:t xml:space="preserve"> </w:t>
      </w:r>
      <w:r w:rsidR="00476737" w:rsidRPr="00141C43">
        <w:rPr>
          <w:rFonts w:ascii="Times New Roman" w:hAnsi="Times New Roman" w:cs="Times New Roman"/>
          <w:sz w:val="24"/>
          <w:szCs w:val="24"/>
        </w:rPr>
        <w:t>em que</w:t>
      </w:r>
      <w:r w:rsidR="00E701BD" w:rsidRPr="00141C43">
        <w:rPr>
          <w:rFonts w:ascii="Times New Roman" w:hAnsi="Times New Roman" w:cs="Times New Roman"/>
          <w:sz w:val="24"/>
          <w:szCs w:val="24"/>
        </w:rPr>
        <w:t xml:space="preserve"> colocou seus TVM</w:t>
      </w:r>
      <w:r w:rsidR="00DB1C8D" w:rsidRPr="00141C43">
        <w:rPr>
          <w:rFonts w:ascii="Times New Roman" w:hAnsi="Times New Roman" w:cs="Times New Roman"/>
          <w:sz w:val="24"/>
          <w:szCs w:val="24"/>
        </w:rPr>
        <w:t xml:space="preserve"> a valor justo, expandindo, assim, o uso d</w:t>
      </w:r>
      <w:r w:rsidR="00476737" w:rsidRPr="00141C43">
        <w:rPr>
          <w:rFonts w:ascii="Times New Roman" w:hAnsi="Times New Roman" w:cs="Times New Roman"/>
          <w:sz w:val="24"/>
          <w:szCs w:val="24"/>
        </w:rPr>
        <w:t>ess</w:t>
      </w:r>
      <w:r w:rsidR="00DB1C8D" w:rsidRPr="00141C43">
        <w:rPr>
          <w:rFonts w:ascii="Times New Roman" w:hAnsi="Times New Roman" w:cs="Times New Roman"/>
          <w:sz w:val="24"/>
          <w:szCs w:val="24"/>
        </w:rPr>
        <w:t>a mensuração (FASB, 2007). Com a inclusão do SFAS 159</w:t>
      </w:r>
      <w:r w:rsidR="000455CE" w:rsidRPr="00141C43">
        <w:rPr>
          <w:rFonts w:ascii="Times New Roman" w:hAnsi="Times New Roman" w:cs="Times New Roman"/>
          <w:sz w:val="24"/>
          <w:szCs w:val="24"/>
        </w:rPr>
        <w:t>,</w:t>
      </w:r>
      <w:r w:rsidR="00DB1C8D" w:rsidRPr="00141C43">
        <w:rPr>
          <w:rFonts w:ascii="Times New Roman" w:hAnsi="Times New Roman" w:cs="Times New Roman"/>
          <w:sz w:val="24"/>
          <w:szCs w:val="24"/>
        </w:rPr>
        <w:t xml:space="preserve"> pode-se observar o impacto sobre a adoção do valor justo </w:t>
      </w:r>
      <w:r w:rsidR="00827411" w:rsidRPr="00141C43">
        <w:rPr>
          <w:rFonts w:ascii="Times New Roman" w:hAnsi="Times New Roman" w:cs="Times New Roman"/>
          <w:sz w:val="24"/>
          <w:szCs w:val="24"/>
        </w:rPr>
        <w:t>n</w:t>
      </w:r>
      <w:r w:rsidR="00DB1C8D" w:rsidRPr="00141C43">
        <w:rPr>
          <w:rFonts w:ascii="Times New Roman" w:hAnsi="Times New Roman" w:cs="Times New Roman"/>
          <w:sz w:val="24"/>
          <w:szCs w:val="24"/>
        </w:rPr>
        <w:t xml:space="preserve">as demonstrações financeiras, </w:t>
      </w:r>
      <w:r w:rsidR="000455CE" w:rsidRPr="00141C43">
        <w:rPr>
          <w:rFonts w:ascii="Times New Roman" w:hAnsi="Times New Roman" w:cs="Times New Roman"/>
          <w:sz w:val="24"/>
          <w:szCs w:val="24"/>
        </w:rPr>
        <w:t>em razão d</w:t>
      </w:r>
      <w:r w:rsidR="00DB1C8D" w:rsidRPr="00141C43">
        <w:rPr>
          <w:rFonts w:ascii="Times New Roman" w:hAnsi="Times New Roman" w:cs="Times New Roman"/>
          <w:sz w:val="24"/>
          <w:szCs w:val="24"/>
        </w:rPr>
        <w:t xml:space="preserve">as características de reconhecimento e mensuração </w:t>
      </w:r>
      <w:r w:rsidR="000455CE" w:rsidRPr="00141C43">
        <w:rPr>
          <w:rFonts w:ascii="Times New Roman" w:hAnsi="Times New Roman" w:cs="Times New Roman"/>
          <w:sz w:val="24"/>
          <w:szCs w:val="24"/>
        </w:rPr>
        <w:t>a</w:t>
      </w:r>
      <w:r w:rsidR="00DB1C8D" w:rsidRPr="00141C43">
        <w:rPr>
          <w:rFonts w:ascii="Times New Roman" w:hAnsi="Times New Roman" w:cs="Times New Roman"/>
          <w:sz w:val="24"/>
          <w:szCs w:val="24"/>
        </w:rPr>
        <w:t xml:space="preserve"> </w:t>
      </w:r>
      <w:r w:rsidR="00282DE5" w:rsidRPr="00141C43">
        <w:rPr>
          <w:rFonts w:ascii="Times New Roman" w:hAnsi="Times New Roman" w:cs="Times New Roman"/>
          <w:sz w:val="24"/>
          <w:szCs w:val="24"/>
        </w:rPr>
        <w:t>ser adotad</w:t>
      </w:r>
      <w:r w:rsidR="000455CE" w:rsidRPr="00141C43">
        <w:rPr>
          <w:rFonts w:ascii="Times New Roman" w:hAnsi="Times New Roman" w:cs="Times New Roman"/>
          <w:sz w:val="24"/>
          <w:szCs w:val="24"/>
        </w:rPr>
        <w:t>as</w:t>
      </w:r>
      <w:r w:rsidR="00DB1C8D" w:rsidRPr="00141C43">
        <w:rPr>
          <w:rFonts w:ascii="Times New Roman" w:hAnsi="Times New Roman" w:cs="Times New Roman"/>
          <w:sz w:val="24"/>
          <w:szCs w:val="24"/>
        </w:rPr>
        <w:t xml:space="preserve"> pelas empresas americanas (H</w:t>
      </w:r>
      <w:r w:rsidR="00CA7461" w:rsidRPr="00141C43">
        <w:rPr>
          <w:rFonts w:ascii="Times New Roman" w:hAnsi="Times New Roman" w:cs="Times New Roman"/>
          <w:sz w:val="24"/>
          <w:szCs w:val="24"/>
        </w:rPr>
        <w:t>enry</w:t>
      </w:r>
      <w:r w:rsidR="00DB1C8D" w:rsidRPr="00141C43">
        <w:rPr>
          <w:rFonts w:ascii="Times New Roman" w:hAnsi="Times New Roman" w:cs="Times New Roman"/>
          <w:sz w:val="24"/>
          <w:szCs w:val="24"/>
        </w:rPr>
        <w:t>, 2009)</w:t>
      </w:r>
      <w:r w:rsidR="00031380" w:rsidRPr="00141C43">
        <w:rPr>
          <w:rFonts w:ascii="Times New Roman" w:hAnsi="Times New Roman" w:cs="Times New Roman"/>
          <w:sz w:val="24"/>
          <w:szCs w:val="24"/>
        </w:rPr>
        <w:t xml:space="preserve">. </w:t>
      </w:r>
    </w:p>
    <w:p w14:paraId="3F8F5B5E" w14:textId="106D9252" w:rsidR="00DB1C8D" w:rsidRPr="00141C43" w:rsidRDefault="00031380" w:rsidP="00DB1C8D">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No Brasil</w:t>
      </w:r>
      <w:r w:rsidR="00D57905" w:rsidRPr="00141C43">
        <w:rPr>
          <w:rFonts w:ascii="Times New Roman" w:hAnsi="Times New Roman" w:cs="Times New Roman"/>
          <w:sz w:val="24"/>
          <w:szCs w:val="24"/>
        </w:rPr>
        <w:t>,</w:t>
      </w:r>
      <w:r w:rsidRPr="00141C43">
        <w:rPr>
          <w:rFonts w:ascii="Times New Roman" w:hAnsi="Times New Roman" w:cs="Times New Roman"/>
          <w:sz w:val="24"/>
          <w:szCs w:val="24"/>
        </w:rPr>
        <w:t xml:space="preserve"> </w:t>
      </w:r>
      <w:r w:rsidR="007A3DC9" w:rsidRPr="00141C43">
        <w:rPr>
          <w:rFonts w:ascii="Times New Roman" w:hAnsi="Times New Roman" w:cs="Times New Roman"/>
          <w:sz w:val="24"/>
          <w:szCs w:val="24"/>
        </w:rPr>
        <w:t>ainda existe uma grande preocupação sobre possíveis</w:t>
      </w:r>
      <w:r w:rsidRPr="00141C43">
        <w:rPr>
          <w:rFonts w:ascii="Times New Roman" w:hAnsi="Times New Roman" w:cs="Times New Roman"/>
          <w:sz w:val="24"/>
          <w:szCs w:val="24"/>
        </w:rPr>
        <w:t xml:space="preserve"> impacto</w:t>
      </w:r>
      <w:r w:rsidR="007A3DC9" w:rsidRPr="00141C43">
        <w:rPr>
          <w:rFonts w:ascii="Times New Roman" w:hAnsi="Times New Roman" w:cs="Times New Roman"/>
          <w:sz w:val="24"/>
          <w:szCs w:val="24"/>
        </w:rPr>
        <w:t xml:space="preserve">s </w:t>
      </w:r>
      <w:r w:rsidRPr="00141C43">
        <w:rPr>
          <w:rFonts w:ascii="Times New Roman" w:hAnsi="Times New Roman" w:cs="Times New Roman"/>
          <w:sz w:val="24"/>
          <w:szCs w:val="24"/>
        </w:rPr>
        <w:t>na reclassificação dos instrumentos financeiros</w:t>
      </w:r>
      <w:r w:rsidR="007A3DC9" w:rsidRPr="00141C43">
        <w:rPr>
          <w:rFonts w:ascii="Times New Roman" w:hAnsi="Times New Roman" w:cs="Times New Roman"/>
          <w:sz w:val="24"/>
          <w:szCs w:val="24"/>
        </w:rPr>
        <w:t>, quanto à</w:t>
      </w:r>
      <w:r w:rsidRPr="00141C43">
        <w:rPr>
          <w:rFonts w:ascii="Times New Roman" w:hAnsi="Times New Roman" w:cs="Times New Roman"/>
          <w:sz w:val="24"/>
          <w:szCs w:val="24"/>
        </w:rPr>
        <w:t xml:space="preserve"> norma que entrará em vigor obrigatoriamente no ano de 2018, como apresentado pelo IFRS9 (IFRS, 2015).</w:t>
      </w:r>
    </w:p>
    <w:p w14:paraId="241C9413" w14:textId="29E4858C" w:rsidR="00DB1C8D" w:rsidRPr="00141C43" w:rsidRDefault="00DB1C8D" w:rsidP="00DB1C8D">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Posteriormente, o Poder Legislativo se pronunciou com a lei nº 11.638</w:t>
      </w:r>
      <w:r w:rsidR="005D6B41" w:rsidRPr="00141C43">
        <w:rPr>
          <w:rFonts w:ascii="Times New Roman" w:hAnsi="Times New Roman" w:cs="Times New Roman"/>
          <w:sz w:val="24"/>
          <w:szCs w:val="24"/>
        </w:rPr>
        <w:t>,</w:t>
      </w:r>
      <w:r w:rsidRPr="00141C43">
        <w:rPr>
          <w:rFonts w:ascii="Times New Roman" w:hAnsi="Times New Roman" w:cs="Times New Roman"/>
          <w:sz w:val="24"/>
          <w:szCs w:val="24"/>
        </w:rPr>
        <w:t xml:space="preserve"> de 28 de dezembro de 2007, alterando a lei nº 6.404</w:t>
      </w:r>
      <w:r w:rsidR="005D6B41" w:rsidRPr="00141C43">
        <w:rPr>
          <w:rFonts w:ascii="Times New Roman" w:hAnsi="Times New Roman" w:cs="Times New Roman"/>
          <w:sz w:val="24"/>
          <w:szCs w:val="24"/>
        </w:rPr>
        <w:t>,</w:t>
      </w:r>
      <w:r w:rsidRPr="00141C43">
        <w:rPr>
          <w:rFonts w:ascii="Times New Roman" w:hAnsi="Times New Roman" w:cs="Times New Roman"/>
          <w:sz w:val="24"/>
          <w:szCs w:val="24"/>
        </w:rPr>
        <w:t xml:space="preserve"> de 15 de dezembro de 1976, consolidando com as normas emitidas pela </w:t>
      </w:r>
      <w:r w:rsidR="005D6B41" w:rsidRPr="00141C43">
        <w:rPr>
          <w:rFonts w:ascii="Times New Roman" w:hAnsi="Times New Roman" w:cs="Times New Roman"/>
          <w:sz w:val="24"/>
          <w:szCs w:val="24"/>
        </w:rPr>
        <w:t>CVM</w:t>
      </w:r>
      <w:r w:rsidRPr="00141C43">
        <w:rPr>
          <w:rFonts w:ascii="Times New Roman" w:hAnsi="Times New Roman" w:cs="Times New Roman"/>
          <w:sz w:val="24"/>
          <w:szCs w:val="24"/>
        </w:rPr>
        <w:t>, colocando-se em consonância aos padrões internacionais de contabilidade para o m</w:t>
      </w:r>
      <w:r w:rsidR="00B70816" w:rsidRPr="00141C43">
        <w:rPr>
          <w:rFonts w:ascii="Times New Roman" w:hAnsi="Times New Roman" w:cs="Times New Roman"/>
          <w:sz w:val="24"/>
          <w:szCs w:val="24"/>
        </w:rPr>
        <w:t>ercado de valores mobiliários</w:t>
      </w:r>
      <w:r w:rsidR="005269C2">
        <w:rPr>
          <w:rFonts w:ascii="Times New Roman" w:hAnsi="Times New Roman" w:cs="Times New Roman"/>
          <w:sz w:val="24"/>
          <w:szCs w:val="24"/>
        </w:rPr>
        <w:t xml:space="preserve"> (Lei n. 6.404, 1976)</w:t>
      </w:r>
      <w:r w:rsidR="00B70816" w:rsidRPr="00141C43">
        <w:rPr>
          <w:rFonts w:ascii="Times New Roman" w:hAnsi="Times New Roman" w:cs="Times New Roman"/>
          <w:sz w:val="24"/>
          <w:szCs w:val="24"/>
        </w:rPr>
        <w:t xml:space="preserve">. Com isso, surgiu o </w:t>
      </w:r>
      <w:r w:rsidRPr="00141C43">
        <w:rPr>
          <w:rFonts w:ascii="Times New Roman" w:hAnsi="Times New Roman" w:cs="Times New Roman"/>
          <w:sz w:val="24"/>
          <w:szCs w:val="24"/>
        </w:rPr>
        <w:t>órgão normatizador brasileiro, o CPC</w:t>
      </w:r>
      <w:r w:rsidR="007B6447" w:rsidRPr="00141C43">
        <w:rPr>
          <w:rFonts w:ascii="Times New Roman" w:hAnsi="Times New Roman" w:cs="Times New Roman"/>
          <w:sz w:val="24"/>
          <w:szCs w:val="24"/>
        </w:rPr>
        <w:t>. Esse órgão se baseia n</w:t>
      </w:r>
      <w:r w:rsidRPr="00141C43">
        <w:rPr>
          <w:rFonts w:ascii="Times New Roman" w:hAnsi="Times New Roman" w:cs="Times New Roman"/>
          <w:sz w:val="24"/>
          <w:szCs w:val="24"/>
        </w:rPr>
        <w:t>a norma publicada pelo IASB</w:t>
      </w:r>
      <w:r w:rsidR="007B6447" w:rsidRPr="00141C43">
        <w:rPr>
          <w:rFonts w:ascii="Times New Roman" w:hAnsi="Times New Roman" w:cs="Times New Roman"/>
          <w:sz w:val="24"/>
          <w:szCs w:val="24"/>
        </w:rPr>
        <w:t xml:space="preserve">, por meio </w:t>
      </w:r>
      <w:r w:rsidRPr="00141C43">
        <w:rPr>
          <w:rFonts w:ascii="Times New Roman" w:hAnsi="Times New Roman" w:cs="Times New Roman"/>
          <w:sz w:val="24"/>
          <w:szCs w:val="24"/>
        </w:rPr>
        <w:t xml:space="preserve">da IFRS, </w:t>
      </w:r>
      <w:r w:rsidR="007B6447" w:rsidRPr="00141C43">
        <w:rPr>
          <w:rFonts w:ascii="Times New Roman" w:hAnsi="Times New Roman" w:cs="Times New Roman"/>
          <w:sz w:val="24"/>
          <w:szCs w:val="24"/>
        </w:rPr>
        <w:t xml:space="preserve">a </w:t>
      </w:r>
      <w:r w:rsidRPr="00141C43">
        <w:rPr>
          <w:rFonts w:ascii="Times New Roman" w:hAnsi="Times New Roman" w:cs="Times New Roman"/>
          <w:sz w:val="24"/>
          <w:szCs w:val="24"/>
        </w:rPr>
        <w:t>interpreta</w:t>
      </w:r>
      <w:r w:rsidR="007B6447" w:rsidRPr="00141C43">
        <w:rPr>
          <w:rFonts w:ascii="Times New Roman" w:hAnsi="Times New Roman" w:cs="Times New Roman"/>
          <w:sz w:val="24"/>
          <w:szCs w:val="24"/>
        </w:rPr>
        <w:t xml:space="preserve"> e a ad</w:t>
      </w:r>
      <w:r w:rsidR="00B60C9B" w:rsidRPr="00141C43">
        <w:rPr>
          <w:rFonts w:ascii="Times New Roman" w:hAnsi="Times New Roman" w:cs="Times New Roman"/>
          <w:sz w:val="24"/>
          <w:szCs w:val="24"/>
        </w:rPr>
        <w:t>e</w:t>
      </w:r>
      <w:r w:rsidR="007B6447" w:rsidRPr="00141C43">
        <w:rPr>
          <w:rFonts w:ascii="Times New Roman" w:hAnsi="Times New Roman" w:cs="Times New Roman"/>
          <w:sz w:val="24"/>
          <w:szCs w:val="24"/>
        </w:rPr>
        <w:t>qua às</w:t>
      </w:r>
      <w:r w:rsidRPr="00141C43">
        <w:rPr>
          <w:rFonts w:ascii="Times New Roman" w:hAnsi="Times New Roman" w:cs="Times New Roman"/>
          <w:sz w:val="24"/>
          <w:szCs w:val="24"/>
        </w:rPr>
        <w:t xml:space="preserve"> regras nacionais.</w:t>
      </w:r>
    </w:p>
    <w:p w14:paraId="78011C12" w14:textId="5DE94FA0" w:rsidR="00080164" w:rsidRPr="00141C43" w:rsidRDefault="00080164"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Em julho de 2014</w:t>
      </w:r>
      <w:r w:rsidR="001B4DFC" w:rsidRPr="00141C43">
        <w:rPr>
          <w:rFonts w:ascii="Times New Roman" w:hAnsi="Times New Roman" w:cs="Times New Roman"/>
          <w:sz w:val="24"/>
          <w:szCs w:val="24"/>
        </w:rPr>
        <w:t>,</w:t>
      </w:r>
      <w:r w:rsidRPr="00141C43">
        <w:rPr>
          <w:rFonts w:ascii="Times New Roman" w:hAnsi="Times New Roman" w:cs="Times New Roman"/>
          <w:sz w:val="24"/>
          <w:szCs w:val="24"/>
        </w:rPr>
        <w:t xml:space="preserve"> o IASB </w:t>
      </w:r>
      <w:r w:rsidR="002A037C" w:rsidRPr="00141C43">
        <w:rPr>
          <w:rFonts w:ascii="Times New Roman" w:hAnsi="Times New Roman" w:cs="Times New Roman"/>
          <w:sz w:val="24"/>
          <w:szCs w:val="24"/>
        </w:rPr>
        <w:t xml:space="preserve">apresentou </w:t>
      </w:r>
      <w:r w:rsidRPr="00141C43">
        <w:rPr>
          <w:rFonts w:ascii="Times New Roman" w:hAnsi="Times New Roman" w:cs="Times New Roman"/>
          <w:sz w:val="24"/>
          <w:szCs w:val="24"/>
        </w:rPr>
        <w:t>a IFRS 9 completa</w:t>
      </w:r>
      <w:r w:rsidR="001B4DFC" w:rsidRPr="00141C43">
        <w:rPr>
          <w:rFonts w:ascii="Times New Roman" w:hAnsi="Times New Roman" w:cs="Times New Roman"/>
          <w:sz w:val="24"/>
          <w:szCs w:val="24"/>
        </w:rPr>
        <w:t>,</w:t>
      </w:r>
      <w:r w:rsidRPr="00141C43">
        <w:rPr>
          <w:rFonts w:ascii="Times New Roman" w:hAnsi="Times New Roman" w:cs="Times New Roman"/>
          <w:sz w:val="24"/>
          <w:szCs w:val="24"/>
        </w:rPr>
        <w:t xml:space="preserve"> com alterações limitadas aos requisitos de classificação e mensuração dos ativos financeiros, abordando uma gama de questões de aplicação e introdução da classificação de </w:t>
      </w:r>
      <w:r w:rsidRPr="00141C43">
        <w:rPr>
          <w:rFonts w:ascii="Times New Roman" w:hAnsi="Times New Roman" w:cs="Times New Roman"/>
          <w:i/>
          <w:sz w:val="24"/>
          <w:szCs w:val="24"/>
        </w:rPr>
        <w:t xml:space="preserve">Fair </w:t>
      </w:r>
      <w:proofErr w:type="spellStart"/>
      <w:r w:rsidRPr="00141C43">
        <w:rPr>
          <w:rFonts w:ascii="Times New Roman" w:hAnsi="Times New Roman" w:cs="Times New Roman"/>
          <w:i/>
          <w:sz w:val="24"/>
          <w:szCs w:val="24"/>
        </w:rPr>
        <w:t>value</w:t>
      </w:r>
      <w:proofErr w:type="spellEnd"/>
      <w:r w:rsidRPr="00141C43">
        <w:rPr>
          <w:rFonts w:ascii="Times New Roman" w:hAnsi="Times New Roman" w:cs="Times New Roman"/>
          <w:i/>
          <w:sz w:val="24"/>
          <w:szCs w:val="24"/>
        </w:rPr>
        <w:t xml:space="preserve"> </w:t>
      </w:r>
      <w:proofErr w:type="spellStart"/>
      <w:r w:rsidRPr="00141C43">
        <w:rPr>
          <w:rFonts w:ascii="Times New Roman" w:hAnsi="Times New Roman" w:cs="Times New Roman"/>
          <w:i/>
          <w:sz w:val="24"/>
          <w:szCs w:val="24"/>
        </w:rPr>
        <w:t>through</w:t>
      </w:r>
      <w:proofErr w:type="spellEnd"/>
      <w:r w:rsidRPr="00141C43">
        <w:rPr>
          <w:rFonts w:ascii="Times New Roman" w:hAnsi="Times New Roman" w:cs="Times New Roman"/>
          <w:i/>
          <w:sz w:val="24"/>
          <w:szCs w:val="24"/>
        </w:rPr>
        <w:t xml:space="preserve"> </w:t>
      </w:r>
      <w:proofErr w:type="spellStart"/>
      <w:r w:rsidRPr="00141C43">
        <w:rPr>
          <w:rFonts w:ascii="Times New Roman" w:hAnsi="Times New Roman" w:cs="Times New Roman"/>
          <w:i/>
          <w:sz w:val="24"/>
          <w:szCs w:val="24"/>
        </w:rPr>
        <w:t>Other</w:t>
      </w:r>
      <w:proofErr w:type="spellEnd"/>
      <w:r w:rsidRPr="00141C43">
        <w:rPr>
          <w:rFonts w:ascii="Times New Roman" w:hAnsi="Times New Roman" w:cs="Times New Roman"/>
          <w:i/>
          <w:sz w:val="24"/>
          <w:szCs w:val="24"/>
        </w:rPr>
        <w:t xml:space="preserve"> </w:t>
      </w:r>
      <w:proofErr w:type="spellStart"/>
      <w:r w:rsidRPr="00141C43">
        <w:rPr>
          <w:rFonts w:ascii="Times New Roman" w:hAnsi="Times New Roman" w:cs="Times New Roman"/>
          <w:i/>
          <w:sz w:val="24"/>
          <w:szCs w:val="24"/>
        </w:rPr>
        <w:t>Comprehensive</w:t>
      </w:r>
      <w:proofErr w:type="spellEnd"/>
      <w:r w:rsidRPr="00141C43">
        <w:rPr>
          <w:rFonts w:ascii="Times New Roman" w:hAnsi="Times New Roman" w:cs="Times New Roman"/>
          <w:i/>
          <w:sz w:val="24"/>
          <w:szCs w:val="24"/>
        </w:rPr>
        <w:t xml:space="preserve"> Income </w:t>
      </w:r>
      <w:r w:rsidRPr="00141C43">
        <w:rPr>
          <w:rFonts w:ascii="Times New Roman" w:hAnsi="Times New Roman" w:cs="Times New Roman"/>
          <w:sz w:val="24"/>
          <w:szCs w:val="24"/>
        </w:rPr>
        <w:t>– FV-OCI</w:t>
      </w:r>
      <w:r w:rsidR="001B4DFC" w:rsidRPr="00141C43">
        <w:rPr>
          <w:rFonts w:ascii="Times New Roman" w:hAnsi="Times New Roman" w:cs="Times New Roman"/>
          <w:sz w:val="24"/>
          <w:szCs w:val="24"/>
        </w:rPr>
        <w:t>,</w:t>
      </w:r>
      <w:r w:rsidRPr="00141C43">
        <w:rPr>
          <w:rFonts w:ascii="Times New Roman" w:hAnsi="Times New Roman" w:cs="Times New Roman"/>
          <w:sz w:val="24"/>
          <w:szCs w:val="24"/>
        </w:rPr>
        <w:t xml:space="preserve"> na categoria de medição para instrumentos financeiros de dívida simples. Também foi adicionado o </w:t>
      </w:r>
      <w:proofErr w:type="spellStart"/>
      <w:r w:rsidR="002A037C" w:rsidRPr="00141C43">
        <w:rPr>
          <w:rFonts w:ascii="Times New Roman" w:hAnsi="Times New Roman" w:cs="Times New Roman"/>
          <w:i/>
          <w:sz w:val="24"/>
          <w:szCs w:val="24"/>
        </w:rPr>
        <w:t>i</w:t>
      </w:r>
      <w:r w:rsidRPr="00141C43">
        <w:rPr>
          <w:rFonts w:ascii="Times New Roman" w:hAnsi="Times New Roman" w:cs="Times New Roman"/>
          <w:i/>
          <w:sz w:val="24"/>
          <w:szCs w:val="24"/>
        </w:rPr>
        <w:t>mpairment</w:t>
      </w:r>
      <w:proofErr w:type="spellEnd"/>
      <w:r w:rsidRPr="00141C43">
        <w:rPr>
          <w:rFonts w:ascii="Times New Roman" w:hAnsi="Times New Roman" w:cs="Times New Roman"/>
          <w:sz w:val="24"/>
          <w:szCs w:val="24"/>
        </w:rPr>
        <w:t xml:space="preserve"> para </w:t>
      </w:r>
      <w:r w:rsidR="00E61717" w:rsidRPr="00141C43">
        <w:rPr>
          <w:rFonts w:ascii="Times New Roman" w:hAnsi="Times New Roman" w:cs="Times New Roman"/>
          <w:sz w:val="24"/>
          <w:szCs w:val="24"/>
        </w:rPr>
        <w:t>contabilizar a</w:t>
      </w:r>
      <w:r w:rsidRPr="00141C43">
        <w:rPr>
          <w:rFonts w:ascii="Times New Roman" w:hAnsi="Times New Roman" w:cs="Times New Roman"/>
          <w:sz w:val="24"/>
          <w:szCs w:val="24"/>
        </w:rPr>
        <w:t>s perdas esperadas da entidade em seus ativos financeiros</w:t>
      </w:r>
      <w:r w:rsidR="008066C6">
        <w:rPr>
          <w:rFonts w:ascii="Times New Roman" w:hAnsi="Times New Roman" w:cs="Times New Roman"/>
          <w:sz w:val="24"/>
          <w:szCs w:val="24"/>
        </w:rPr>
        <w:t>.</w:t>
      </w:r>
    </w:p>
    <w:p w14:paraId="5D9ED85F" w14:textId="57366CA4" w:rsidR="0057771B" w:rsidRDefault="00080164"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Até o momento atual, as instituições financeiras </w:t>
      </w:r>
      <w:r w:rsidR="001B4DFC" w:rsidRPr="00141C43">
        <w:rPr>
          <w:rFonts w:ascii="Times New Roman" w:hAnsi="Times New Roman" w:cs="Times New Roman"/>
          <w:sz w:val="24"/>
          <w:szCs w:val="24"/>
        </w:rPr>
        <w:t>com</w:t>
      </w:r>
      <w:r w:rsidRPr="00141C43">
        <w:rPr>
          <w:rFonts w:ascii="Times New Roman" w:hAnsi="Times New Roman" w:cs="Times New Roman"/>
          <w:sz w:val="24"/>
          <w:szCs w:val="24"/>
        </w:rPr>
        <w:t xml:space="preserve"> atividades no exterior já estão adaptando </w:t>
      </w:r>
      <w:r w:rsidR="00B47BD5" w:rsidRPr="00141C43">
        <w:rPr>
          <w:rFonts w:ascii="Times New Roman" w:hAnsi="Times New Roman" w:cs="Times New Roman"/>
          <w:sz w:val="24"/>
          <w:szCs w:val="24"/>
        </w:rPr>
        <w:t xml:space="preserve">suas demonstrações financeiras </w:t>
      </w:r>
      <w:r w:rsidRPr="00141C43">
        <w:rPr>
          <w:rFonts w:ascii="Times New Roman" w:hAnsi="Times New Roman" w:cs="Times New Roman"/>
          <w:sz w:val="24"/>
          <w:szCs w:val="24"/>
        </w:rPr>
        <w:t xml:space="preserve">para </w:t>
      </w:r>
      <w:r w:rsidR="0048768A" w:rsidRPr="00141C43">
        <w:rPr>
          <w:rFonts w:ascii="Times New Roman" w:hAnsi="Times New Roman" w:cs="Times New Roman"/>
          <w:sz w:val="24"/>
          <w:szCs w:val="24"/>
        </w:rPr>
        <w:t xml:space="preserve">implantar </w:t>
      </w:r>
      <w:r w:rsidRPr="00141C43">
        <w:rPr>
          <w:rFonts w:ascii="Times New Roman" w:hAnsi="Times New Roman" w:cs="Times New Roman"/>
          <w:sz w:val="24"/>
          <w:szCs w:val="24"/>
        </w:rPr>
        <w:t>o IFRS 9 dentro da instituiçã</w:t>
      </w:r>
      <w:r w:rsidR="00675EAF" w:rsidRPr="00141C43">
        <w:rPr>
          <w:rFonts w:ascii="Times New Roman" w:hAnsi="Times New Roman" w:cs="Times New Roman"/>
          <w:sz w:val="24"/>
          <w:szCs w:val="24"/>
        </w:rPr>
        <w:t>o</w:t>
      </w:r>
      <w:r w:rsidR="001B4DFC" w:rsidRPr="00141C43">
        <w:rPr>
          <w:rFonts w:ascii="Times New Roman" w:hAnsi="Times New Roman" w:cs="Times New Roman"/>
          <w:sz w:val="24"/>
          <w:szCs w:val="24"/>
        </w:rPr>
        <w:t>,</w:t>
      </w:r>
      <w:r w:rsidR="00675EAF" w:rsidRPr="00141C43">
        <w:rPr>
          <w:rFonts w:ascii="Times New Roman" w:hAnsi="Times New Roman" w:cs="Times New Roman"/>
          <w:sz w:val="24"/>
          <w:szCs w:val="24"/>
        </w:rPr>
        <w:t xml:space="preserve"> conforme o</w:t>
      </w:r>
      <w:r w:rsidR="00830EC5">
        <w:rPr>
          <w:rFonts w:ascii="Times New Roman" w:hAnsi="Times New Roman" w:cs="Times New Roman"/>
          <w:sz w:val="24"/>
          <w:szCs w:val="24"/>
        </w:rPr>
        <w:t xml:space="preserve"> nota explicativa do banco Itaú (2016)</w:t>
      </w:r>
      <w:r w:rsidR="0057771B" w:rsidRPr="00141C43">
        <w:rPr>
          <w:rFonts w:ascii="Times New Roman" w:hAnsi="Times New Roman" w:cs="Times New Roman"/>
          <w:sz w:val="24"/>
          <w:szCs w:val="24"/>
        </w:rPr>
        <w:t>:</w:t>
      </w:r>
    </w:p>
    <w:p w14:paraId="31DF9BD7" w14:textId="7D1D0A9B" w:rsidR="00675EAF" w:rsidRDefault="00AF4AD1" w:rsidP="00561B24">
      <w:pPr>
        <w:spacing w:after="240" w:line="240" w:lineRule="auto"/>
        <w:ind w:left="425" w:hanging="425"/>
        <w:jc w:val="both"/>
        <w:rPr>
          <w:rFonts w:ascii="Times New Roman" w:hAnsi="Times New Roman" w:cs="Times New Roman"/>
          <w:sz w:val="24"/>
          <w:szCs w:val="24"/>
        </w:rPr>
      </w:pPr>
      <w:r w:rsidRPr="00141C43">
        <w:rPr>
          <w:rFonts w:ascii="Times New Roman" w:hAnsi="Times New Roman" w:cs="Times New Roman"/>
          <w:sz w:val="24"/>
          <w:szCs w:val="24"/>
        </w:rPr>
        <w:t xml:space="preserve"> </w:t>
      </w:r>
      <w:r w:rsidR="0057771B" w:rsidRPr="00141C43">
        <w:rPr>
          <w:rFonts w:ascii="Times New Roman" w:hAnsi="Times New Roman" w:cs="Times New Roman"/>
          <w:sz w:val="24"/>
          <w:szCs w:val="24"/>
        </w:rPr>
        <w:t>Nota</w:t>
      </w:r>
      <w:r w:rsidRPr="00141C43">
        <w:rPr>
          <w:rFonts w:ascii="Times New Roman" w:hAnsi="Times New Roman" w:cs="Times New Roman"/>
          <w:sz w:val="24"/>
          <w:szCs w:val="24"/>
        </w:rPr>
        <w:t xml:space="preserve"> 2.2 – Novos Pronunciamentos e Alterações e Interpretações de Pronunciamentos Existentes, no item b) Pronunciamentos Contábeis Emitidos Recentemente e Aplicáveis em Períodos Futuros dizendo sobre IFRS 9 – Instrumentos Financeiros – O pronunciamento visa substituir a IAS 39 – Instrumentos Financeiros: Reconhecimento e Mensuração. </w:t>
      </w:r>
      <w:r w:rsidR="00244B6A" w:rsidRPr="00141C43">
        <w:rPr>
          <w:rFonts w:ascii="Times New Roman" w:hAnsi="Times New Roman" w:cs="Times New Roman"/>
          <w:sz w:val="24"/>
          <w:szCs w:val="24"/>
        </w:rPr>
        <w:t>(</w:t>
      </w:r>
      <w:r w:rsidR="004574E1" w:rsidRPr="00141C43">
        <w:rPr>
          <w:rFonts w:ascii="Times New Roman" w:hAnsi="Times New Roman" w:cs="Times New Roman"/>
          <w:sz w:val="24"/>
          <w:szCs w:val="24"/>
        </w:rPr>
        <w:t>Itaú</w:t>
      </w:r>
      <w:r w:rsidR="00B63F58" w:rsidRPr="00141C43">
        <w:rPr>
          <w:rFonts w:ascii="Times New Roman" w:hAnsi="Times New Roman" w:cs="Times New Roman"/>
          <w:sz w:val="24"/>
          <w:szCs w:val="24"/>
        </w:rPr>
        <w:t>, 2016 p. 28)</w:t>
      </w:r>
      <w:r w:rsidR="00675EAF" w:rsidRPr="00141C43">
        <w:rPr>
          <w:rFonts w:ascii="Times New Roman" w:hAnsi="Times New Roman" w:cs="Times New Roman"/>
          <w:sz w:val="24"/>
          <w:szCs w:val="24"/>
        </w:rPr>
        <w:t>.</w:t>
      </w:r>
    </w:p>
    <w:p w14:paraId="6CA8A599" w14:textId="583D03D5" w:rsidR="006F27B6" w:rsidRPr="00141C43" w:rsidRDefault="00A377C0" w:rsidP="00D55EBA">
      <w:pPr>
        <w:pStyle w:val="Ttulo3"/>
        <w:spacing w:before="240" w:after="240" w:line="240" w:lineRule="auto"/>
        <w:jc w:val="both"/>
        <w:rPr>
          <w:rFonts w:ascii="Times New Roman" w:hAnsi="Times New Roman" w:cs="Times New Roman"/>
          <w:b/>
          <w:color w:val="000000" w:themeColor="text1"/>
        </w:rPr>
      </w:pPr>
      <w:bookmarkStart w:id="6" w:name="_Toc432790822"/>
      <w:bookmarkStart w:id="7" w:name="_Toc469928718"/>
      <w:r w:rsidRPr="00141C43">
        <w:rPr>
          <w:rFonts w:ascii="Times New Roman" w:hAnsi="Times New Roman" w:cs="Times New Roman"/>
          <w:b/>
          <w:color w:val="000000" w:themeColor="text1"/>
        </w:rPr>
        <w:t>2</w:t>
      </w:r>
      <w:r w:rsidR="00EB1E63">
        <w:rPr>
          <w:rFonts w:ascii="Times New Roman" w:hAnsi="Times New Roman" w:cs="Times New Roman"/>
          <w:b/>
          <w:color w:val="000000" w:themeColor="text1"/>
        </w:rPr>
        <w:t>.2.</w:t>
      </w:r>
      <w:r w:rsidR="004A61E4">
        <w:rPr>
          <w:rFonts w:ascii="Times New Roman" w:hAnsi="Times New Roman" w:cs="Times New Roman"/>
          <w:b/>
          <w:color w:val="000000" w:themeColor="text1"/>
        </w:rPr>
        <w:t>1</w:t>
      </w:r>
      <w:r w:rsidR="006F27B6" w:rsidRPr="00141C43">
        <w:rPr>
          <w:rFonts w:ascii="Times New Roman" w:hAnsi="Times New Roman" w:cs="Times New Roman"/>
          <w:b/>
          <w:color w:val="000000" w:themeColor="text1"/>
        </w:rPr>
        <w:t xml:space="preserve"> – </w:t>
      </w:r>
      <w:r w:rsidR="00094C6F" w:rsidRPr="00141C43">
        <w:rPr>
          <w:rFonts w:ascii="Times New Roman" w:hAnsi="Times New Roman" w:cs="Times New Roman"/>
          <w:b/>
          <w:color w:val="000000" w:themeColor="text1"/>
        </w:rPr>
        <w:t xml:space="preserve">Aspectos gerais de </w:t>
      </w:r>
      <w:r w:rsidR="006F27B6" w:rsidRPr="00141C43">
        <w:rPr>
          <w:rFonts w:ascii="Times New Roman" w:hAnsi="Times New Roman" w:cs="Times New Roman"/>
          <w:b/>
          <w:color w:val="000000" w:themeColor="text1"/>
        </w:rPr>
        <w:t>Reconhecimento e Mensuração</w:t>
      </w:r>
      <w:bookmarkEnd w:id="6"/>
      <w:bookmarkEnd w:id="7"/>
    </w:p>
    <w:p w14:paraId="50AC454F" w14:textId="2B462694" w:rsidR="001B008B" w:rsidRDefault="006512A1"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No</w:t>
      </w:r>
      <w:r w:rsidR="00DB46D3" w:rsidRPr="00141C43">
        <w:rPr>
          <w:rFonts w:ascii="Times New Roman" w:hAnsi="Times New Roman" w:cs="Times New Roman"/>
          <w:sz w:val="24"/>
          <w:szCs w:val="24"/>
        </w:rPr>
        <w:t xml:space="preserve"> IAS 39</w:t>
      </w:r>
      <w:r w:rsidR="00537F5B" w:rsidRPr="00141C43">
        <w:rPr>
          <w:rFonts w:ascii="Times New Roman" w:hAnsi="Times New Roman" w:cs="Times New Roman"/>
          <w:sz w:val="24"/>
          <w:szCs w:val="24"/>
        </w:rPr>
        <w:t>,</w:t>
      </w:r>
      <w:r w:rsidR="00DB46D3" w:rsidRPr="00141C43">
        <w:rPr>
          <w:rFonts w:ascii="Times New Roman" w:hAnsi="Times New Roman" w:cs="Times New Roman"/>
          <w:sz w:val="24"/>
          <w:szCs w:val="24"/>
        </w:rPr>
        <w:t xml:space="preserve"> </w:t>
      </w:r>
      <w:r w:rsidR="00FC0F62" w:rsidRPr="00141C43">
        <w:rPr>
          <w:rFonts w:ascii="Times New Roman" w:hAnsi="Times New Roman" w:cs="Times New Roman"/>
          <w:sz w:val="24"/>
          <w:szCs w:val="24"/>
        </w:rPr>
        <w:t>o investidor decidia no momento da compra o critério a ser adotado para</w:t>
      </w:r>
      <w:r w:rsidR="0018460B" w:rsidRPr="00141C43">
        <w:rPr>
          <w:rFonts w:ascii="Times New Roman" w:hAnsi="Times New Roman" w:cs="Times New Roman"/>
          <w:sz w:val="24"/>
          <w:szCs w:val="24"/>
        </w:rPr>
        <w:t xml:space="preserve"> </w:t>
      </w:r>
      <w:r w:rsidR="00490938" w:rsidRPr="00141C43">
        <w:rPr>
          <w:rFonts w:ascii="Times New Roman" w:hAnsi="Times New Roman" w:cs="Times New Roman"/>
          <w:sz w:val="24"/>
          <w:szCs w:val="24"/>
        </w:rPr>
        <w:t>reconhecimento e mensuração do</w:t>
      </w:r>
      <w:r w:rsidR="00EB1E63">
        <w:rPr>
          <w:rFonts w:ascii="Times New Roman" w:hAnsi="Times New Roman" w:cs="Times New Roman"/>
          <w:sz w:val="24"/>
          <w:szCs w:val="24"/>
        </w:rPr>
        <w:t xml:space="preserve"> título</w:t>
      </w:r>
      <w:r w:rsidR="0018460B" w:rsidRPr="00141C43">
        <w:rPr>
          <w:rFonts w:ascii="Times New Roman" w:hAnsi="Times New Roman" w:cs="Times New Roman"/>
          <w:sz w:val="24"/>
          <w:szCs w:val="24"/>
        </w:rPr>
        <w:t>,</w:t>
      </w:r>
      <w:r w:rsidR="00EB1E63">
        <w:rPr>
          <w:rFonts w:ascii="Times New Roman" w:hAnsi="Times New Roman" w:cs="Times New Roman"/>
          <w:sz w:val="24"/>
          <w:szCs w:val="24"/>
        </w:rPr>
        <w:t xml:space="preserve"> como demonstrado</w:t>
      </w:r>
      <w:r w:rsidR="002970AB">
        <w:rPr>
          <w:rFonts w:ascii="Times New Roman" w:hAnsi="Times New Roman" w:cs="Times New Roman"/>
          <w:sz w:val="24"/>
          <w:szCs w:val="24"/>
        </w:rPr>
        <w:t xml:space="preserve"> na tabela 2</w:t>
      </w:r>
      <w:r w:rsidR="0018460B" w:rsidRPr="00141C43">
        <w:rPr>
          <w:rFonts w:ascii="Times New Roman" w:hAnsi="Times New Roman" w:cs="Times New Roman"/>
          <w:sz w:val="24"/>
          <w:szCs w:val="24"/>
        </w:rPr>
        <w:t>:</w:t>
      </w:r>
    </w:p>
    <w:p w14:paraId="1CD5C6D1" w14:textId="77777777" w:rsidR="00340BD0" w:rsidRDefault="00340BD0" w:rsidP="00B05033">
      <w:pPr>
        <w:spacing w:after="0" w:line="240" w:lineRule="auto"/>
        <w:ind w:firstLine="709"/>
        <w:jc w:val="both"/>
        <w:rPr>
          <w:rFonts w:ascii="Times New Roman" w:hAnsi="Times New Roman" w:cs="Times New Roman"/>
          <w:sz w:val="24"/>
          <w:szCs w:val="24"/>
        </w:rPr>
      </w:pPr>
    </w:p>
    <w:p w14:paraId="54C2CA9F" w14:textId="77777777" w:rsidR="00340BD0" w:rsidRDefault="00340BD0" w:rsidP="00B05033">
      <w:pPr>
        <w:spacing w:after="0" w:line="240" w:lineRule="auto"/>
        <w:ind w:firstLine="709"/>
        <w:jc w:val="both"/>
        <w:rPr>
          <w:rFonts w:ascii="Times New Roman" w:hAnsi="Times New Roman" w:cs="Times New Roman"/>
          <w:sz w:val="24"/>
          <w:szCs w:val="24"/>
        </w:rPr>
      </w:pPr>
    </w:p>
    <w:p w14:paraId="456B9BC9" w14:textId="77777777" w:rsidR="00340BD0" w:rsidRDefault="00340BD0" w:rsidP="00B05033">
      <w:pPr>
        <w:spacing w:after="0" w:line="240" w:lineRule="auto"/>
        <w:ind w:firstLine="709"/>
        <w:jc w:val="both"/>
        <w:rPr>
          <w:rFonts w:ascii="Times New Roman" w:hAnsi="Times New Roman" w:cs="Times New Roman"/>
          <w:sz w:val="24"/>
          <w:szCs w:val="24"/>
        </w:rPr>
      </w:pPr>
    </w:p>
    <w:p w14:paraId="3AA95CBA" w14:textId="77777777" w:rsidR="00340BD0" w:rsidRDefault="00340BD0" w:rsidP="00B05033">
      <w:pPr>
        <w:spacing w:after="0" w:line="240" w:lineRule="auto"/>
        <w:ind w:firstLine="709"/>
        <w:jc w:val="both"/>
        <w:rPr>
          <w:rFonts w:ascii="Times New Roman" w:hAnsi="Times New Roman" w:cs="Times New Roman"/>
          <w:sz w:val="24"/>
          <w:szCs w:val="24"/>
        </w:rPr>
      </w:pPr>
    </w:p>
    <w:p w14:paraId="017289CD" w14:textId="77777777" w:rsidR="00340BD0" w:rsidRDefault="00340BD0" w:rsidP="00B05033">
      <w:pPr>
        <w:spacing w:after="0" w:line="240" w:lineRule="auto"/>
        <w:ind w:firstLine="709"/>
        <w:jc w:val="both"/>
        <w:rPr>
          <w:rFonts w:ascii="Times New Roman" w:hAnsi="Times New Roman" w:cs="Times New Roman"/>
          <w:sz w:val="24"/>
          <w:szCs w:val="24"/>
        </w:rPr>
      </w:pPr>
    </w:p>
    <w:p w14:paraId="153B95D3" w14:textId="77777777" w:rsidR="00340BD0" w:rsidRDefault="00340BD0" w:rsidP="00B05033">
      <w:pPr>
        <w:spacing w:after="0" w:line="240" w:lineRule="auto"/>
        <w:ind w:firstLine="709"/>
        <w:jc w:val="both"/>
        <w:rPr>
          <w:rFonts w:ascii="Times New Roman" w:hAnsi="Times New Roman" w:cs="Times New Roman"/>
          <w:sz w:val="24"/>
          <w:szCs w:val="24"/>
        </w:rPr>
      </w:pPr>
    </w:p>
    <w:p w14:paraId="753E2F7E" w14:textId="77777777" w:rsidR="00340BD0" w:rsidRDefault="00340BD0" w:rsidP="00B05033">
      <w:pPr>
        <w:spacing w:after="0" w:line="240" w:lineRule="auto"/>
        <w:ind w:firstLine="709"/>
        <w:jc w:val="both"/>
        <w:rPr>
          <w:rFonts w:ascii="Times New Roman" w:hAnsi="Times New Roman" w:cs="Times New Roman"/>
          <w:sz w:val="24"/>
          <w:szCs w:val="24"/>
        </w:rPr>
      </w:pPr>
    </w:p>
    <w:p w14:paraId="301F54E6" w14:textId="77777777" w:rsidR="00340BD0" w:rsidRDefault="00340BD0" w:rsidP="00B05033">
      <w:pPr>
        <w:spacing w:after="0" w:line="240" w:lineRule="auto"/>
        <w:ind w:firstLine="709"/>
        <w:jc w:val="both"/>
        <w:rPr>
          <w:rFonts w:ascii="Times New Roman" w:hAnsi="Times New Roman" w:cs="Times New Roman"/>
          <w:sz w:val="24"/>
          <w:szCs w:val="24"/>
        </w:rPr>
      </w:pPr>
    </w:p>
    <w:p w14:paraId="657235D3" w14:textId="77777777" w:rsidR="00340BD0" w:rsidRDefault="00340BD0" w:rsidP="00B05033">
      <w:pPr>
        <w:spacing w:after="0" w:line="240" w:lineRule="auto"/>
        <w:ind w:firstLine="709"/>
        <w:jc w:val="both"/>
        <w:rPr>
          <w:rFonts w:ascii="Times New Roman" w:hAnsi="Times New Roman" w:cs="Times New Roman"/>
          <w:sz w:val="24"/>
          <w:szCs w:val="24"/>
        </w:rPr>
      </w:pPr>
    </w:p>
    <w:p w14:paraId="46BEFE75" w14:textId="77777777" w:rsidR="00340BD0" w:rsidRDefault="00340BD0" w:rsidP="00B05033">
      <w:pPr>
        <w:spacing w:after="0" w:line="240" w:lineRule="auto"/>
        <w:ind w:firstLine="709"/>
        <w:jc w:val="both"/>
        <w:rPr>
          <w:rFonts w:ascii="Times New Roman" w:hAnsi="Times New Roman" w:cs="Times New Roman"/>
          <w:sz w:val="24"/>
          <w:szCs w:val="24"/>
        </w:rPr>
      </w:pPr>
    </w:p>
    <w:p w14:paraId="7BEBD684" w14:textId="3552DB97" w:rsidR="00B05033" w:rsidRPr="00141C43" w:rsidRDefault="002970AB" w:rsidP="00B050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Tabela 2</w:t>
      </w:r>
    </w:p>
    <w:p w14:paraId="21917898" w14:textId="77777777" w:rsidR="001B008B" w:rsidRPr="00141C43" w:rsidRDefault="001B008B" w:rsidP="00B05033">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Resumo do IAS39</w:t>
      </w:r>
    </w:p>
    <w:tbl>
      <w:tblPr>
        <w:tblStyle w:val="Tabelacomgrade"/>
        <w:tblW w:w="89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092"/>
        <w:gridCol w:w="1968"/>
        <w:gridCol w:w="2239"/>
      </w:tblGrid>
      <w:tr w:rsidR="00E77678" w:rsidRPr="00141C43" w14:paraId="03BEE8B6" w14:textId="77777777" w:rsidTr="00EB1E63">
        <w:trPr>
          <w:jc w:val="center"/>
        </w:trPr>
        <w:tc>
          <w:tcPr>
            <w:tcW w:w="1668" w:type="dxa"/>
            <w:tcBorders>
              <w:bottom w:val="single" w:sz="4" w:space="0" w:color="auto"/>
            </w:tcBorders>
          </w:tcPr>
          <w:p w14:paraId="64CC35C2" w14:textId="77777777" w:rsidR="00E77678" w:rsidRPr="00141C43" w:rsidRDefault="00E77678" w:rsidP="00B05033">
            <w:pPr>
              <w:jc w:val="center"/>
              <w:rPr>
                <w:rFonts w:ascii="Times New Roman" w:hAnsi="Times New Roman" w:cs="Times New Roman"/>
                <w:b/>
                <w:sz w:val="24"/>
                <w:szCs w:val="24"/>
              </w:rPr>
            </w:pPr>
            <w:r w:rsidRPr="00141C43">
              <w:rPr>
                <w:rFonts w:ascii="Times New Roman" w:hAnsi="Times New Roman" w:cs="Times New Roman"/>
                <w:b/>
                <w:sz w:val="24"/>
                <w:szCs w:val="24"/>
              </w:rPr>
              <w:t>Categoria</w:t>
            </w:r>
          </w:p>
        </w:tc>
        <w:tc>
          <w:tcPr>
            <w:tcW w:w="3092" w:type="dxa"/>
            <w:tcBorders>
              <w:bottom w:val="single" w:sz="4" w:space="0" w:color="auto"/>
            </w:tcBorders>
          </w:tcPr>
          <w:p w14:paraId="09374BD1" w14:textId="77777777" w:rsidR="00E77678" w:rsidRPr="00141C43" w:rsidRDefault="00E77678" w:rsidP="00B05033">
            <w:pPr>
              <w:jc w:val="center"/>
              <w:rPr>
                <w:rFonts w:ascii="Times New Roman" w:hAnsi="Times New Roman" w:cs="Times New Roman"/>
                <w:b/>
                <w:sz w:val="24"/>
                <w:szCs w:val="24"/>
              </w:rPr>
            </w:pPr>
            <w:r w:rsidRPr="00141C43">
              <w:rPr>
                <w:rFonts w:ascii="Times New Roman" w:hAnsi="Times New Roman" w:cs="Times New Roman"/>
                <w:b/>
                <w:sz w:val="24"/>
                <w:szCs w:val="24"/>
              </w:rPr>
              <w:t>Descrição</w:t>
            </w:r>
          </w:p>
        </w:tc>
        <w:tc>
          <w:tcPr>
            <w:tcW w:w="1968" w:type="dxa"/>
            <w:tcBorders>
              <w:bottom w:val="single" w:sz="4" w:space="0" w:color="auto"/>
            </w:tcBorders>
          </w:tcPr>
          <w:p w14:paraId="29643977" w14:textId="77777777" w:rsidR="00E77678" w:rsidRPr="00141C43" w:rsidRDefault="00E77678" w:rsidP="00B05033">
            <w:pPr>
              <w:jc w:val="center"/>
              <w:rPr>
                <w:rFonts w:ascii="Times New Roman" w:hAnsi="Times New Roman" w:cs="Times New Roman"/>
                <w:b/>
                <w:sz w:val="24"/>
                <w:szCs w:val="24"/>
              </w:rPr>
            </w:pPr>
            <w:r w:rsidRPr="00141C43">
              <w:rPr>
                <w:rFonts w:ascii="Times New Roman" w:hAnsi="Times New Roman" w:cs="Times New Roman"/>
                <w:b/>
                <w:sz w:val="24"/>
                <w:szCs w:val="24"/>
              </w:rPr>
              <w:t>Avaliação a valor justo</w:t>
            </w:r>
          </w:p>
        </w:tc>
        <w:tc>
          <w:tcPr>
            <w:tcW w:w="2239" w:type="dxa"/>
            <w:tcBorders>
              <w:bottom w:val="single" w:sz="4" w:space="0" w:color="auto"/>
            </w:tcBorders>
          </w:tcPr>
          <w:p w14:paraId="04FD47FA" w14:textId="77777777" w:rsidR="00E77678" w:rsidRPr="00141C43" w:rsidRDefault="00E77678" w:rsidP="00B05033">
            <w:pPr>
              <w:jc w:val="center"/>
              <w:rPr>
                <w:rFonts w:ascii="Times New Roman" w:hAnsi="Times New Roman" w:cs="Times New Roman"/>
                <w:b/>
                <w:sz w:val="24"/>
                <w:szCs w:val="24"/>
              </w:rPr>
            </w:pPr>
            <w:r w:rsidRPr="00141C43">
              <w:rPr>
                <w:rFonts w:ascii="Times New Roman" w:hAnsi="Times New Roman" w:cs="Times New Roman"/>
                <w:b/>
                <w:sz w:val="24"/>
                <w:szCs w:val="24"/>
              </w:rPr>
              <w:t>Avaliação a custo amortizado</w:t>
            </w:r>
          </w:p>
        </w:tc>
      </w:tr>
      <w:tr w:rsidR="00E77678" w:rsidRPr="00141C43" w14:paraId="13D4F416" w14:textId="77777777" w:rsidTr="00EB1E63">
        <w:trPr>
          <w:jc w:val="center"/>
        </w:trPr>
        <w:tc>
          <w:tcPr>
            <w:tcW w:w="1668" w:type="dxa"/>
            <w:tcBorders>
              <w:top w:val="single" w:sz="4" w:space="0" w:color="auto"/>
              <w:bottom w:val="single" w:sz="4" w:space="0" w:color="auto"/>
            </w:tcBorders>
          </w:tcPr>
          <w:p w14:paraId="4DF24C02" w14:textId="77777777" w:rsidR="00E77678" w:rsidRPr="00141C43" w:rsidRDefault="00E77678" w:rsidP="00440321">
            <w:pPr>
              <w:spacing w:before="120" w:after="120"/>
              <w:jc w:val="center"/>
              <w:rPr>
                <w:rFonts w:ascii="Times New Roman" w:hAnsi="Times New Roman" w:cs="Times New Roman"/>
                <w:b/>
                <w:sz w:val="24"/>
                <w:szCs w:val="24"/>
              </w:rPr>
            </w:pPr>
            <w:r w:rsidRPr="00141C43">
              <w:rPr>
                <w:rFonts w:ascii="Times New Roman" w:hAnsi="Times New Roman" w:cs="Times New Roman"/>
                <w:b/>
                <w:sz w:val="24"/>
                <w:szCs w:val="24"/>
              </w:rPr>
              <w:t>Empréstimos e Recebíveis</w:t>
            </w:r>
          </w:p>
        </w:tc>
        <w:tc>
          <w:tcPr>
            <w:tcW w:w="3092" w:type="dxa"/>
            <w:tcBorders>
              <w:top w:val="single" w:sz="4" w:space="0" w:color="auto"/>
              <w:bottom w:val="single" w:sz="4" w:space="0" w:color="auto"/>
            </w:tcBorders>
          </w:tcPr>
          <w:p w14:paraId="635AC3EA"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Ativos não cotados, gerados ou adquiridos, sem que haja intenção de venda do ativo no curto prazo</w:t>
            </w:r>
          </w:p>
        </w:tc>
        <w:tc>
          <w:tcPr>
            <w:tcW w:w="1968" w:type="dxa"/>
            <w:tcBorders>
              <w:top w:val="single" w:sz="4" w:space="0" w:color="auto"/>
              <w:bottom w:val="single" w:sz="4" w:space="0" w:color="auto"/>
            </w:tcBorders>
          </w:tcPr>
          <w:p w14:paraId="2C1AC405"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Não</w:t>
            </w:r>
          </w:p>
        </w:tc>
        <w:tc>
          <w:tcPr>
            <w:tcW w:w="2239" w:type="dxa"/>
            <w:tcBorders>
              <w:top w:val="single" w:sz="4" w:space="0" w:color="auto"/>
              <w:bottom w:val="single" w:sz="4" w:space="0" w:color="auto"/>
            </w:tcBorders>
          </w:tcPr>
          <w:p w14:paraId="19DECFC2"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Sim</w:t>
            </w:r>
          </w:p>
        </w:tc>
      </w:tr>
      <w:tr w:rsidR="00E77678" w:rsidRPr="00141C43" w14:paraId="683AA1F9" w14:textId="77777777" w:rsidTr="00EB1E63">
        <w:trPr>
          <w:jc w:val="center"/>
        </w:trPr>
        <w:tc>
          <w:tcPr>
            <w:tcW w:w="1668" w:type="dxa"/>
            <w:tcBorders>
              <w:top w:val="single" w:sz="4" w:space="0" w:color="auto"/>
              <w:bottom w:val="single" w:sz="4" w:space="0" w:color="auto"/>
            </w:tcBorders>
          </w:tcPr>
          <w:p w14:paraId="6BA4A2B7" w14:textId="77777777" w:rsidR="00E77678" w:rsidRPr="00141C43" w:rsidRDefault="00E77678" w:rsidP="00440321">
            <w:pPr>
              <w:spacing w:before="120" w:after="120"/>
              <w:jc w:val="center"/>
              <w:rPr>
                <w:rFonts w:ascii="Times New Roman" w:hAnsi="Times New Roman" w:cs="Times New Roman"/>
                <w:b/>
                <w:sz w:val="24"/>
                <w:szCs w:val="24"/>
              </w:rPr>
            </w:pPr>
            <w:r w:rsidRPr="00141C43">
              <w:rPr>
                <w:rFonts w:ascii="Times New Roman" w:hAnsi="Times New Roman" w:cs="Times New Roman"/>
                <w:b/>
                <w:sz w:val="24"/>
                <w:szCs w:val="24"/>
              </w:rPr>
              <w:t>Mantidos até o vencimento (MAV)</w:t>
            </w:r>
          </w:p>
        </w:tc>
        <w:tc>
          <w:tcPr>
            <w:tcW w:w="3092" w:type="dxa"/>
            <w:tcBorders>
              <w:top w:val="single" w:sz="4" w:space="0" w:color="auto"/>
              <w:bottom w:val="single" w:sz="4" w:space="0" w:color="auto"/>
            </w:tcBorders>
          </w:tcPr>
          <w:p w14:paraId="26034590"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Ativos de dívida de terceiros com prazo fixo adquiridos pela entidade com a intenção e capacidade de mantê-los até o vencimento.</w:t>
            </w:r>
          </w:p>
        </w:tc>
        <w:tc>
          <w:tcPr>
            <w:tcW w:w="1968" w:type="dxa"/>
            <w:tcBorders>
              <w:top w:val="single" w:sz="4" w:space="0" w:color="auto"/>
              <w:bottom w:val="single" w:sz="4" w:space="0" w:color="auto"/>
            </w:tcBorders>
          </w:tcPr>
          <w:p w14:paraId="66905B2F"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Não</w:t>
            </w:r>
          </w:p>
        </w:tc>
        <w:tc>
          <w:tcPr>
            <w:tcW w:w="2239" w:type="dxa"/>
            <w:tcBorders>
              <w:top w:val="single" w:sz="4" w:space="0" w:color="auto"/>
              <w:bottom w:val="single" w:sz="4" w:space="0" w:color="auto"/>
            </w:tcBorders>
          </w:tcPr>
          <w:p w14:paraId="4B070AEA" w14:textId="77777777" w:rsidR="00E77678" w:rsidRPr="00141C43" w:rsidRDefault="00E77678" w:rsidP="00440321">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Sim</w:t>
            </w:r>
          </w:p>
        </w:tc>
      </w:tr>
      <w:tr w:rsidR="00E77678" w:rsidRPr="00141C43" w14:paraId="586E86C3" w14:textId="77777777" w:rsidTr="00EB1E63">
        <w:trPr>
          <w:jc w:val="center"/>
        </w:trPr>
        <w:tc>
          <w:tcPr>
            <w:tcW w:w="1668" w:type="dxa"/>
            <w:tcBorders>
              <w:top w:val="single" w:sz="4" w:space="0" w:color="auto"/>
              <w:bottom w:val="single" w:sz="4" w:space="0" w:color="auto"/>
            </w:tcBorders>
          </w:tcPr>
          <w:p w14:paraId="2C64CE09" w14:textId="77777777" w:rsidR="00E77678" w:rsidRPr="00141C43" w:rsidRDefault="00E77678" w:rsidP="00440321">
            <w:pPr>
              <w:spacing w:before="120" w:after="120"/>
              <w:jc w:val="center"/>
              <w:rPr>
                <w:rFonts w:ascii="Times New Roman" w:hAnsi="Times New Roman" w:cs="Times New Roman"/>
                <w:b/>
                <w:sz w:val="24"/>
                <w:szCs w:val="24"/>
              </w:rPr>
            </w:pPr>
            <w:r w:rsidRPr="00141C43">
              <w:rPr>
                <w:rFonts w:ascii="Times New Roman" w:hAnsi="Times New Roman" w:cs="Times New Roman"/>
                <w:b/>
                <w:sz w:val="24"/>
                <w:szCs w:val="24"/>
              </w:rPr>
              <w:t>Disponível ao valor justo</w:t>
            </w:r>
            <w:r w:rsidR="00101C14" w:rsidRPr="00141C43">
              <w:rPr>
                <w:rFonts w:ascii="Times New Roman" w:hAnsi="Times New Roman" w:cs="Times New Roman"/>
                <w:b/>
                <w:sz w:val="24"/>
                <w:szCs w:val="24"/>
              </w:rPr>
              <w:t xml:space="preserve"> (DVJ)</w:t>
            </w:r>
          </w:p>
        </w:tc>
        <w:tc>
          <w:tcPr>
            <w:tcW w:w="3092" w:type="dxa"/>
            <w:tcBorders>
              <w:top w:val="single" w:sz="4" w:space="0" w:color="auto"/>
              <w:bottom w:val="single" w:sz="4" w:space="0" w:color="auto"/>
            </w:tcBorders>
          </w:tcPr>
          <w:p w14:paraId="3240FD6C" w14:textId="77777777" w:rsidR="00E77678" w:rsidRPr="00141C43" w:rsidRDefault="00E77678" w:rsidP="00101C14">
            <w:pPr>
              <w:pStyle w:val="PargrafodaLista"/>
              <w:numPr>
                <w:ilvl w:val="0"/>
                <w:numId w:val="17"/>
              </w:numPr>
              <w:spacing w:before="120" w:after="120"/>
              <w:ind w:left="283" w:hanging="284"/>
              <w:jc w:val="both"/>
              <w:rPr>
                <w:rFonts w:ascii="Times New Roman" w:hAnsi="Times New Roman" w:cs="Times New Roman"/>
                <w:sz w:val="24"/>
                <w:szCs w:val="24"/>
              </w:rPr>
            </w:pPr>
            <w:r w:rsidRPr="00141C43">
              <w:rPr>
                <w:rFonts w:ascii="Times New Roman" w:hAnsi="Times New Roman" w:cs="Times New Roman"/>
                <w:sz w:val="24"/>
                <w:szCs w:val="24"/>
              </w:rPr>
              <w:t>Ativo ou passivos financeiros denominados como “disponíveis para negociação” em curto prazo</w:t>
            </w:r>
          </w:p>
          <w:p w14:paraId="0246DD06" w14:textId="77777777" w:rsidR="00E77678" w:rsidRPr="00141C43" w:rsidRDefault="00E77678" w:rsidP="00101C14">
            <w:pPr>
              <w:pStyle w:val="PargrafodaLista"/>
              <w:numPr>
                <w:ilvl w:val="0"/>
                <w:numId w:val="17"/>
              </w:numPr>
              <w:spacing w:before="120" w:after="120"/>
              <w:ind w:left="283" w:hanging="284"/>
              <w:jc w:val="both"/>
              <w:rPr>
                <w:rFonts w:ascii="Times New Roman" w:hAnsi="Times New Roman" w:cs="Times New Roman"/>
                <w:sz w:val="24"/>
                <w:szCs w:val="24"/>
              </w:rPr>
            </w:pPr>
            <w:r w:rsidRPr="00141C43">
              <w:rPr>
                <w:rFonts w:ascii="Times New Roman" w:hAnsi="Times New Roman" w:cs="Times New Roman"/>
                <w:sz w:val="24"/>
                <w:szCs w:val="24"/>
              </w:rPr>
              <w:t>Todos os derivativos (exceto os que se enquadram em estruturas de hedge).</w:t>
            </w:r>
          </w:p>
          <w:p w14:paraId="7399D8E9" w14:textId="77777777" w:rsidR="00E77678" w:rsidRPr="00141C43" w:rsidRDefault="00E77678" w:rsidP="00101C14">
            <w:pPr>
              <w:pStyle w:val="PargrafodaLista"/>
              <w:numPr>
                <w:ilvl w:val="0"/>
                <w:numId w:val="17"/>
              </w:numPr>
              <w:spacing w:before="120" w:after="120"/>
              <w:ind w:left="283" w:hanging="284"/>
              <w:jc w:val="both"/>
              <w:rPr>
                <w:rFonts w:ascii="Times New Roman" w:hAnsi="Times New Roman" w:cs="Times New Roman"/>
                <w:sz w:val="24"/>
                <w:szCs w:val="24"/>
              </w:rPr>
            </w:pPr>
            <w:r w:rsidRPr="00141C43">
              <w:rPr>
                <w:rFonts w:ascii="Times New Roman" w:hAnsi="Times New Roman" w:cs="Times New Roman"/>
                <w:sz w:val="24"/>
                <w:szCs w:val="24"/>
              </w:rPr>
              <w:t xml:space="preserve">Qualquer </w:t>
            </w:r>
            <w:proofErr w:type="spellStart"/>
            <w:r w:rsidRPr="00141C43">
              <w:rPr>
                <w:rFonts w:ascii="Times New Roman" w:hAnsi="Times New Roman" w:cs="Times New Roman"/>
                <w:sz w:val="24"/>
                <w:szCs w:val="24"/>
              </w:rPr>
              <w:t>ítem</w:t>
            </w:r>
            <w:proofErr w:type="spellEnd"/>
            <w:r w:rsidRPr="00141C43">
              <w:rPr>
                <w:rFonts w:ascii="Times New Roman" w:hAnsi="Times New Roman" w:cs="Times New Roman"/>
                <w:sz w:val="24"/>
                <w:szCs w:val="24"/>
              </w:rPr>
              <w:t xml:space="preserve"> designado como tal na origem, incluindo obrigações.</w:t>
            </w:r>
          </w:p>
        </w:tc>
        <w:tc>
          <w:tcPr>
            <w:tcW w:w="1968" w:type="dxa"/>
            <w:tcBorders>
              <w:top w:val="single" w:sz="4" w:space="0" w:color="auto"/>
              <w:bottom w:val="single" w:sz="4" w:space="0" w:color="auto"/>
            </w:tcBorders>
          </w:tcPr>
          <w:p w14:paraId="70236984" w14:textId="77777777" w:rsidR="00E77678" w:rsidRPr="00141C43" w:rsidRDefault="00101C14" w:rsidP="00101C14">
            <w:pPr>
              <w:spacing w:before="120" w:after="120"/>
              <w:jc w:val="both"/>
              <w:rPr>
                <w:rFonts w:ascii="Times New Roman" w:hAnsi="Times New Roman" w:cs="Times New Roman"/>
                <w:sz w:val="24"/>
                <w:szCs w:val="24"/>
              </w:rPr>
            </w:pPr>
            <w:r w:rsidRPr="00141C43">
              <w:rPr>
                <w:rFonts w:ascii="Times New Roman" w:hAnsi="Times New Roman" w:cs="Times New Roman"/>
                <w:sz w:val="24"/>
                <w:szCs w:val="24"/>
              </w:rPr>
              <w:t>Sim, para o resultado</w:t>
            </w:r>
          </w:p>
        </w:tc>
        <w:tc>
          <w:tcPr>
            <w:tcW w:w="2239" w:type="dxa"/>
            <w:tcBorders>
              <w:top w:val="single" w:sz="4" w:space="0" w:color="auto"/>
              <w:bottom w:val="single" w:sz="4" w:space="0" w:color="auto"/>
            </w:tcBorders>
          </w:tcPr>
          <w:p w14:paraId="1993DC13" w14:textId="77777777" w:rsidR="00E77678" w:rsidRPr="00141C43" w:rsidRDefault="00101C14" w:rsidP="00101C14">
            <w:pPr>
              <w:spacing w:before="120" w:after="120"/>
              <w:jc w:val="both"/>
              <w:rPr>
                <w:rFonts w:ascii="Times New Roman" w:hAnsi="Times New Roman" w:cs="Times New Roman"/>
                <w:sz w:val="24"/>
                <w:szCs w:val="24"/>
              </w:rPr>
            </w:pPr>
            <w:r w:rsidRPr="00141C43">
              <w:rPr>
                <w:rFonts w:ascii="Times New Roman" w:hAnsi="Times New Roman" w:cs="Times New Roman"/>
                <w:sz w:val="24"/>
                <w:szCs w:val="24"/>
              </w:rPr>
              <w:t>Não</w:t>
            </w:r>
          </w:p>
        </w:tc>
      </w:tr>
      <w:tr w:rsidR="00E77678" w:rsidRPr="00141C43" w14:paraId="3660B760" w14:textId="77777777" w:rsidTr="00EB1E63">
        <w:trPr>
          <w:jc w:val="center"/>
        </w:trPr>
        <w:tc>
          <w:tcPr>
            <w:tcW w:w="1668" w:type="dxa"/>
            <w:tcBorders>
              <w:top w:val="single" w:sz="4" w:space="0" w:color="auto"/>
            </w:tcBorders>
          </w:tcPr>
          <w:p w14:paraId="2334DA15" w14:textId="77777777" w:rsidR="00E77678" w:rsidRPr="00141C43" w:rsidRDefault="00101C14" w:rsidP="00440321">
            <w:pPr>
              <w:spacing w:before="120" w:after="120"/>
              <w:jc w:val="center"/>
              <w:rPr>
                <w:rFonts w:ascii="Times New Roman" w:hAnsi="Times New Roman" w:cs="Times New Roman"/>
                <w:b/>
                <w:sz w:val="24"/>
                <w:szCs w:val="24"/>
              </w:rPr>
            </w:pPr>
            <w:r w:rsidRPr="00141C43">
              <w:rPr>
                <w:rFonts w:ascii="Times New Roman" w:hAnsi="Times New Roman" w:cs="Times New Roman"/>
                <w:b/>
                <w:sz w:val="24"/>
                <w:szCs w:val="24"/>
              </w:rPr>
              <w:t>Disponível para venda (DAV)</w:t>
            </w:r>
          </w:p>
        </w:tc>
        <w:tc>
          <w:tcPr>
            <w:tcW w:w="3092" w:type="dxa"/>
            <w:tcBorders>
              <w:top w:val="single" w:sz="4" w:space="0" w:color="auto"/>
            </w:tcBorders>
          </w:tcPr>
          <w:p w14:paraId="3D9F190B" w14:textId="77777777" w:rsidR="00E77678" w:rsidRPr="00141C43" w:rsidRDefault="00101C14" w:rsidP="00101C14">
            <w:pPr>
              <w:pStyle w:val="PargrafodaLista"/>
              <w:numPr>
                <w:ilvl w:val="0"/>
                <w:numId w:val="18"/>
              </w:numPr>
              <w:spacing w:before="120" w:after="120"/>
              <w:ind w:left="283" w:hanging="284"/>
              <w:jc w:val="both"/>
              <w:rPr>
                <w:rFonts w:ascii="Times New Roman" w:hAnsi="Times New Roman" w:cs="Times New Roman"/>
                <w:sz w:val="24"/>
                <w:szCs w:val="24"/>
              </w:rPr>
            </w:pPr>
            <w:r w:rsidRPr="00141C43">
              <w:rPr>
                <w:rFonts w:ascii="Times New Roman" w:hAnsi="Times New Roman" w:cs="Times New Roman"/>
                <w:sz w:val="24"/>
                <w:szCs w:val="24"/>
              </w:rPr>
              <w:t>Todos os ativos não incluídos nas categorias acima.</w:t>
            </w:r>
          </w:p>
          <w:p w14:paraId="1B90846E" w14:textId="77777777" w:rsidR="00101C14" w:rsidRPr="00141C43" w:rsidRDefault="00101C14" w:rsidP="00101C14">
            <w:pPr>
              <w:pStyle w:val="PargrafodaLista"/>
              <w:numPr>
                <w:ilvl w:val="0"/>
                <w:numId w:val="18"/>
              </w:numPr>
              <w:spacing w:before="120" w:after="120"/>
              <w:ind w:left="283" w:hanging="284"/>
              <w:jc w:val="both"/>
              <w:rPr>
                <w:rFonts w:ascii="Times New Roman" w:hAnsi="Times New Roman" w:cs="Times New Roman"/>
                <w:sz w:val="24"/>
                <w:szCs w:val="24"/>
              </w:rPr>
            </w:pPr>
            <w:r w:rsidRPr="00141C43">
              <w:rPr>
                <w:rFonts w:ascii="Times New Roman" w:hAnsi="Times New Roman" w:cs="Times New Roman"/>
                <w:sz w:val="24"/>
                <w:szCs w:val="24"/>
              </w:rPr>
              <w:t>Aqueles designados inicialmente pela entidade nessa categoria.</w:t>
            </w:r>
          </w:p>
        </w:tc>
        <w:tc>
          <w:tcPr>
            <w:tcW w:w="1968" w:type="dxa"/>
            <w:tcBorders>
              <w:top w:val="single" w:sz="4" w:space="0" w:color="auto"/>
            </w:tcBorders>
          </w:tcPr>
          <w:p w14:paraId="123523BD" w14:textId="77777777" w:rsidR="00E77678" w:rsidRPr="00141C43" w:rsidRDefault="00101C14" w:rsidP="00101C14">
            <w:pPr>
              <w:spacing w:before="120" w:after="120"/>
              <w:jc w:val="both"/>
              <w:rPr>
                <w:rFonts w:ascii="Times New Roman" w:hAnsi="Times New Roman" w:cs="Times New Roman"/>
                <w:sz w:val="24"/>
                <w:szCs w:val="24"/>
              </w:rPr>
            </w:pPr>
            <w:r w:rsidRPr="00141C43">
              <w:rPr>
                <w:rFonts w:ascii="Times New Roman" w:hAnsi="Times New Roman" w:cs="Times New Roman"/>
                <w:sz w:val="24"/>
                <w:szCs w:val="24"/>
              </w:rPr>
              <w:t xml:space="preserve">Sim, com o registro no patrimônio líquido, a menos que exista evidência de materialização de perda. Juros são contabilizados no resultado com base na TJE. </w:t>
            </w:r>
          </w:p>
        </w:tc>
        <w:tc>
          <w:tcPr>
            <w:tcW w:w="2239" w:type="dxa"/>
            <w:tcBorders>
              <w:top w:val="single" w:sz="4" w:space="0" w:color="auto"/>
            </w:tcBorders>
          </w:tcPr>
          <w:p w14:paraId="1BA8D0D8" w14:textId="77777777" w:rsidR="00E77678" w:rsidRPr="00141C43" w:rsidRDefault="00B51F71" w:rsidP="00101C14">
            <w:pPr>
              <w:spacing w:before="120" w:after="120"/>
              <w:jc w:val="both"/>
              <w:rPr>
                <w:rFonts w:ascii="Times New Roman" w:hAnsi="Times New Roman" w:cs="Times New Roman"/>
                <w:sz w:val="24"/>
                <w:szCs w:val="24"/>
              </w:rPr>
            </w:pPr>
            <w:r w:rsidRPr="00141C43">
              <w:rPr>
                <w:rFonts w:ascii="Times New Roman" w:hAnsi="Times New Roman" w:cs="Times New Roman"/>
                <w:sz w:val="24"/>
                <w:szCs w:val="24"/>
              </w:rPr>
              <w:t>Somente se não tiver o valor justo confiável.</w:t>
            </w:r>
          </w:p>
        </w:tc>
      </w:tr>
    </w:tbl>
    <w:p w14:paraId="3767AD99" w14:textId="48F73B0B" w:rsidR="001B008B" w:rsidRPr="00141C43" w:rsidRDefault="00E43432" w:rsidP="00D61E8D">
      <w:pPr>
        <w:spacing w:before="120" w:after="120" w:line="240" w:lineRule="auto"/>
        <w:ind w:left="284"/>
        <w:jc w:val="both"/>
        <w:rPr>
          <w:rFonts w:ascii="Times New Roman" w:hAnsi="Times New Roman" w:cs="Times New Roman"/>
          <w:sz w:val="20"/>
          <w:szCs w:val="20"/>
        </w:rPr>
      </w:pPr>
      <w:r w:rsidRPr="00141C43">
        <w:rPr>
          <w:rFonts w:ascii="Times New Roman" w:hAnsi="Times New Roman" w:cs="Times New Roman"/>
          <w:sz w:val="20"/>
          <w:szCs w:val="20"/>
        </w:rPr>
        <w:t xml:space="preserve">Fonte: </w:t>
      </w:r>
      <w:r w:rsidR="009971DF" w:rsidRPr="00141C43">
        <w:rPr>
          <w:rFonts w:ascii="Times New Roman" w:hAnsi="Times New Roman" w:cs="Times New Roman"/>
          <w:sz w:val="20"/>
          <w:szCs w:val="20"/>
        </w:rPr>
        <w:t xml:space="preserve">Adaptado de </w:t>
      </w:r>
      <w:r w:rsidR="00CE226F" w:rsidRPr="00141C43">
        <w:rPr>
          <w:rFonts w:ascii="Times New Roman" w:hAnsi="Times New Roman" w:cs="Times New Roman"/>
          <w:sz w:val="20"/>
          <w:szCs w:val="20"/>
        </w:rPr>
        <w:t>“</w:t>
      </w:r>
      <w:r w:rsidR="009971DF" w:rsidRPr="00141C43">
        <w:rPr>
          <w:rFonts w:ascii="Times New Roman" w:hAnsi="Times New Roman" w:cs="Times New Roman"/>
          <w:sz w:val="20"/>
          <w:szCs w:val="20"/>
        </w:rPr>
        <w:t xml:space="preserve">Manual de normas internacionais de Contabilidade: IFRS </w:t>
      </w:r>
      <w:proofErr w:type="spellStart"/>
      <w:r w:rsidR="009971DF" w:rsidRPr="00141C43">
        <w:rPr>
          <w:rFonts w:ascii="Times New Roman" w:hAnsi="Times New Roman" w:cs="Times New Roman"/>
          <w:sz w:val="20"/>
          <w:szCs w:val="20"/>
        </w:rPr>
        <w:t>vesus</w:t>
      </w:r>
      <w:proofErr w:type="spellEnd"/>
      <w:r w:rsidR="009971DF" w:rsidRPr="00141C43">
        <w:rPr>
          <w:rFonts w:ascii="Times New Roman" w:hAnsi="Times New Roman" w:cs="Times New Roman"/>
          <w:sz w:val="20"/>
          <w:szCs w:val="20"/>
        </w:rPr>
        <w:t xml:space="preserve"> normas brasileiras</w:t>
      </w:r>
      <w:r w:rsidR="00CE226F" w:rsidRPr="00141C43">
        <w:rPr>
          <w:rFonts w:ascii="Times New Roman" w:hAnsi="Times New Roman" w:cs="Times New Roman"/>
          <w:sz w:val="20"/>
          <w:szCs w:val="20"/>
        </w:rPr>
        <w:t>”</w:t>
      </w:r>
      <w:r w:rsidR="009971DF" w:rsidRPr="00141C43">
        <w:rPr>
          <w:rFonts w:ascii="Times New Roman" w:hAnsi="Times New Roman" w:cs="Times New Roman"/>
          <w:sz w:val="20"/>
          <w:szCs w:val="20"/>
        </w:rPr>
        <w:t xml:space="preserve">, </w:t>
      </w:r>
      <w:r w:rsidR="00CE226F" w:rsidRPr="00141C43">
        <w:rPr>
          <w:rFonts w:ascii="Times New Roman" w:hAnsi="Times New Roman" w:cs="Times New Roman"/>
          <w:sz w:val="20"/>
          <w:szCs w:val="20"/>
        </w:rPr>
        <w:t xml:space="preserve">Ernest &amp; Young, </w:t>
      </w:r>
      <w:proofErr w:type="spellStart"/>
      <w:r w:rsidR="00BF5695" w:rsidRPr="00141C43">
        <w:rPr>
          <w:rFonts w:ascii="Times New Roman" w:hAnsi="Times New Roman" w:cs="Times New Roman"/>
          <w:sz w:val="20"/>
          <w:szCs w:val="20"/>
        </w:rPr>
        <w:t>Fipecafi</w:t>
      </w:r>
      <w:proofErr w:type="spellEnd"/>
      <w:r w:rsidR="00BF5695" w:rsidRPr="00141C43">
        <w:rPr>
          <w:rFonts w:ascii="Times New Roman" w:hAnsi="Times New Roman" w:cs="Times New Roman"/>
          <w:sz w:val="20"/>
          <w:szCs w:val="20"/>
        </w:rPr>
        <w:t>, 2. Ed.</w:t>
      </w:r>
      <w:r w:rsidR="009971DF" w:rsidRPr="00141C43">
        <w:rPr>
          <w:rFonts w:ascii="Times New Roman" w:hAnsi="Times New Roman" w:cs="Times New Roman"/>
          <w:sz w:val="20"/>
          <w:szCs w:val="20"/>
        </w:rPr>
        <w:t xml:space="preserve"> São Paulo</w:t>
      </w:r>
      <w:r w:rsidR="00BF5695" w:rsidRPr="00141C43">
        <w:rPr>
          <w:rFonts w:ascii="Times New Roman" w:hAnsi="Times New Roman" w:cs="Times New Roman"/>
          <w:sz w:val="20"/>
          <w:szCs w:val="20"/>
        </w:rPr>
        <w:t>,</w:t>
      </w:r>
      <w:r w:rsidR="009971DF" w:rsidRPr="00141C43">
        <w:rPr>
          <w:rFonts w:ascii="Times New Roman" w:hAnsi="Times New Roman" w:cs="Times New Roman"/>
          <w:sz w:val="20"/>
          <w:szCs w:val="20"/>
        </w:rPr>
        <w:t xml:space="preserve"> Atlas.</w:t>
      </w:r>
      <w:r w:rsidRPr="00141C43">
        <w:rPr>
          <w:rFonts w:ascii="Times New Roman" w:hAnsi="Times New Roman" w:cs="Times New Roman"/>
          <w:sz w:val="20"/>
          <w:szCs w:val="20"/>
        </w:rPr>
        <w:t xml:space="preserve"> (</w:t>
      </w:r>
      <w:r w:rsidR="00B51F71" w:rsidRPr="00141C43">
        <w:rPr>
          <w:rFonts w:ascii="Times New Roman" w:hAnsi="Times New Roman" w:cs="Times New Roman"/>
          <w:sz w:val="20"/>
          <w:szCs w:val="20"/>
        </w:rPr>
        <w:t>2010)</w:t>
      </w:r>
    </w:p>
    <w:p w14:paraId="1F7BAA9D" w14:textId="77777777" w:rsidR="00B51F71" w:rsidRPr="00141C43" w:rsidRDefault="00B51F71" w:rsidP="00766702">
      <w:pPr>
        <w:spacing w:before="120" w:after="120" w:line="360" w:lineRule="auto"/>
        <w:ind w:firstLine="709"/>
        <w:jc w:val="both"/>
        <w:rPr>
          <w:rFonts w:ascii="Times New Roman" w:hAnsi="Times New Roman" w:cs="Times New Roman"/>
          <w:sz w:val="16"/>
          <w:szCs w:val="24"/>
        </w:rPr>
      </w:pPr>
    </w:p>
    <w:p w14:paraId="35517ECD" w14:textId="1ED5400F" w:rsidR="00DB46D3" w:rsidRPr="00141C43" w:rsidRDefault="00FC0F62"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Com o IFRS 9</w:t>
      </w:r>
      <w:r w:rsidR="00932C8F" w:rsidRPr="00141C43">
        <w:rPr>
          <w:rFonts w:ascii="Times New Roman" w:hAnsi="Times New Roman" w:cs="Times New Roman"/>
          <w:sz w:val="24"/>
          <w:szCs w:val="24"/>
        </w:rPr>
        <w:t>,</w:t>
      </w:r>
      <w:r w:rsidRPr="00141C43">
        <w:rPr>
          <w:rFonts w:ascii="Times New Roman" w:hAnsi="Times New Roman" w:cs="Times New Roman"/>
          <w:sz w:val="24"/>
          <w:szCs w:val="24"/>
        </w:rPr>
        <w:t xml:space="preserve"> o IASB</w:t>
      </w:r>
      <w:r w:rsidR="00911746" w:rsidRPr="00141C43">
        <w:rPr>
          <w:rFonts w:ascii="Times New Roman" w:hAnsi="Times New Roman" w:cs="Times New Roman"/>
          <w:sz w:val="24"/>
          <w:szCs w:val="24"/>
        </w:rPr>
        <w:t xml:space="preserve"> modificou a metodologia de definição de critérios e como escolher o critério no momento da compra</w:t>
      </w:r>
      <w:r w:rsidR="0018460B" w:rsidRPr="00141C43">
        <w:rPr>
          <w:rFonts w:ascii="Times New Roman" w:hAnsi="Times New Roman" w:cs="Times New Roman"/>
          <w:sz w:val="24"/>
          <w:szCs w:val="24"/>
        </w:rPr>
        <w:t>. Isto é</w:t>
      </w:r>
      <w:r w:rsidR="00911746" w:rsidRPr="00141C43">
        <w:rPr>
          <w:rFonts w:ascii="Times New Roman" w:hAnsi="Times New Roman" w:cs="Times New Roman"/>
          <w:sz w:val="24"/>
          <w:szCs w:val="24"/>
        </w:rPr>
        <w:t>, anteriormente</w:t>
      </w:r>
      <w:r w:rsidR="00932C8F" w:rsidRPr="00141C43">
        <w:rPr>
          <w:rFonts w:ascii="Times New Roman" w:hAnsi="Times New Roman" w:cs="Times New Roman"/>
          <w:sz w:val="24"/>
          <w:szCs w:val="24"/>
        </w:rPr>
        <w:t>,</w:t>
      </w:r>
      <w:r w:rsidR="00911746" w:rsidRPr="00141C43">
        <w:rPr>
          <w:rFonts w:ascii="Times New Roman" w:hAnsi="Times New Roman" w:cs="Times New Roman"/>
          <w:sz w:val="24"/>
          <w:szCs w:val="24"/>
        </w:rPr>
        <w:t xml:space="preserve"> a instituição definia qual critério iria utilizar quando comprasse o título</w:t>
      </w:r>
      <w:r w:rsidR="00767652" w:rsidRPr="00141C43">
        <w:rPr>
          <w:rFonts w:ascii="Times New Roman" w:hAnsi="Times New Roman" w:cs="Times New Roman"/>
          <w:sz w:val="24"/>
          <w:szCs w:val="24"/>
        </w:rPr>
        <w:t>,</w:t>
      </w:r>
      <w:r w:rsidR="00911746" w:rsidRPr="00141C43">
        <w:rPr>
          <w:rFonts w:ascii="Times New Roman" w:hAnsi="Times New Roman" w:cs="Times New Roman"/>
          <w:sz w:val="24"/>
          <w:szCs w:val="24"/>
        </w:rPr>
        <w:t xml:space="preserve"> </w:t>
      </w:r>
      <w:r w:rsidR="0018460B" w:rsidRPr="00141C43">
        <w:rPr>
          <w:rFonts w:ascii="Times New Roman" w:hAnsi="Times New Roman" w:cs="Times New Roman"/>
          <w:sz w:val="24"/>
          <w:szCs w:val="24"/>
        </w:rPr>
        <w:t>e atualmente,</w:t>
      </w:r>
      <w:r w:rsidR="00911746" w:rsidRPr="00141C43">
        <w:rPr>
          <w:rFonts w:ascii="Times New Roman" w:hAnsi="Times New Roman" w:cs="Times New Roman"/>
          <w:sz w:val="24"/>
          <w:szCs w:val="24"/>
        </w:rPr>
        <w:t xml:space="preserve"> </w:t>
      </w:r>
      <w:r w:rsidR="009F51A5" w:rsidRPr="00141C43">
        <w:rPr>
          <w:rFonts w:ascii="Times New Roman" w:hAnsi="Times New Roman" w:cs="Times New Roman"/>
          <w:sz w:val="24"/>
          <w:szCs w:val="24"/>
        </w:rPr>
        <w:t>envolve</w:t>
      </w:r>
      <w:r w:rsidR="00911746" w:rsidRPr="00141C43">
        <w:rPr>
          <w:rFonts w:ascii="Times New Roman" w:hAnsi="Times New Roman" w:cs="Times New Roman"/>
          <w:sz w:val="24"/>
          <w:szCs w:val="24"/>
        </w:rPr>
        <w:t xml:space="preserve"> o critério de negócio </w:t>
      </w:r>
      <w:r w:rsidR="00980E14" w:rsidRPr="00141C43">
        <w:rPr>
          <w:rFonts w:ascii="Times New Roman" w:hAnsi="Times New Roman" w:cs="Times New Roman"/>
          <w:sz w:val="24"/>
          <w:szCs w:val="24"/>
        </w:rPr>
        <w:lastRenderedPageBreak/>
        <w:t xml:space="preserve">com o qual </w:t>
      </w:r>
      <w:r w:rsidR="00911746" w:rsidRPr="00141C43">
        <w:rPr>
          <w:rFonts w:ascii="Times New Roman" w:hAnsi="Times New Roman" w:cs="Times New Roman"/>
          <w:sz w:val="24"/>
          <w:szCs w:val="24"/>
        </w:rPr>
        <w:t>o título será abordado</w:t>
      </w:r>
      <w:r w:rsidR="00932C8F" w:rsidRPr="00141C43">
        <w:rPr>
          <w:rFonts w:ascii="Times New Roman" w:hAnsi="Times New Roman" w:cs="Times New Roman"/>
          <w:sz w:val="24"/>
          <w:szCs w:val="24"/>
        </w:rPr>
        <w:t xml:space="preserve">. </w:t>
      </w:r>
      <w:r w:rsidR="0018460B" w:rsidRPr="00141C43">
        <w:rPr>
          <w:rFonts w:ascii="Times New Roman" w:hAnsi="Times New Roman" w:cs="Times New Roman"/>
          <w:sz w:val="24"/>
          <w:szCs w:val="24"/>
        </w:rPr>
        <w:t>A</w:t>
      </w:r>
      <w:r w:rsidR="00911746" w:rsidRPr="00141C43">
        <w:rPr>
          <w:rFonts w:ascii="Times New Roman" w:hAnsi="Times New Roman" w:cs="Times New Roman"/>
          <w:sz w:val="24"/>
          <w:szCs w:val="24"/>
        </w:rPr>
        <w:t>ssim</w:t>
      </w:r>
      <w:r w:rsidR="00932C8F" w:rsidRPr="00141C43">
        <w:rPr>
          <w:rFonts w:ascii="Times New Roman" w:hAnsi="Times New Roman" w:cs="Times New Roman"/>
          <w:sz w:val="24"/>
          <w:szCs w:val="24"/>
        </w:rPr>
        <w:t>,</w:t>
      </w:r>
      <w:r w:rsidR="00911746" w:rsidRPr="00141C43">
        <w:rPr>
          <w:rFonts w:ascii="Times New Roman" w:hAnsi="Times New Roman" w:cs="Times New Roman"/>
          <w:sz w:val="24"/>
          <w:szCs w:val="24"/>
        </w:rPr>
        <w:t xml:space="preserve"> o IASB</w:t>
      </w:r>
      <w:r w:rsidRPr="00141C43">
        <w:rPr>
          <w:rFonts w:ascii="Times New Roman" w:hAnsi="Times New Roman" w:cs="Times New Roman"/>
          <w:sz w:val="24"/>
          <w:szCs w:val="24"/>
        </w:rPr>
        <w:t xml:space="preserve"> minimizou os critérios de classificação em </w:t>
      </w:r>
      <w:r w:rsidR="00932C8F" w:rsidRPr="00141C43">
        <w:rPr>
          <w:rFonts w:ascii="Times New Roman" w:hAnsi="Times New Roman" w:cs="Times New Roman"/>
          <w:sz w:val="24"/>
          <w:szCs w:val="24"/>
        </w:rPr>
        <w:t>duas</w:t>
      </w:r>
      <w:r w:rsidRPr="00141C43">
        <w:rPr>
          <w:rFonts w:ascii="Times New Roman" w:hAnsi="Times New Roman" w:cs="Times New Roman"/>
          <w:sz w:val="24"/>
          <w:szCs w:val="24"/>
        </w:rPr>
        <w:t xml:space="preserve"> </w:t>
      </w:r>
      <w:r w:rsidR="00911746" w:rsidRPr="00141C43">
        <w:rPr>
          <w:rFonts w:ascii="Times New Roman" w:hAnsi="Times New Roman" w:cs="Times New Roman"/>
          <w:sz w:val="24"/>
          <w:szCs w:val="24"/>
        </w:rPr>
        <w:t>categorias</w:t>
      </w:r>
      <w:r w:rsidR="00F22EE1">
        <w:rPr>
          <w:rFonts w:ascii="Times New Roman" w:hAnsi="Times New Roman" w:cs="Times New Roman"/>
          <w:sz w:val="24"/>
          <w:szCs w:val="24"/>
        </w:rPr>
        <w:t>.</w:t>
      </w:r>
    </w:p>
    <w:p w14:paraId="77EF478C" w14:textId="4509ED7F" w:rsidR="006C61F9" w:rsidRDefault="00B51F71" w:rsidP="006C61F9">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Como demonstrado para o IAS39</w:t>
      </w:r>
      <w:r w:rsidR="00F66ED7" w:rsidRPr="00141C43">
        <w:rPr>
          <w:rFonts w:ascii="Times New Roman" w:hAnsi="Times New Roman" w:cs="Times New Roman"/>
          <w:sz w:val="24"/>
          <w:szCs w:val="24"/>
        </w:rPr>
        <w:t>, segue</w:t>
      </w:r>
      <w:r w:rsidR="00151633" w:rsidRPr="00141C43">
        <w:rPr>
          <w:rFonts w:ascii="Times New Roman" w:hAnsi="Times New Roman" w:cs="Times New Roman"/>
          <w:sz w:val="24"/>
          <w:szCs w:val="24"/>
        </w:rPr>
        <w:t>m</w:t>
      </w:r>
      <w:r w:rsidR="00F66ED7" w:rsidRPr="00141C43">
        <w:rPr>
          <w:rFonts w:ascii="Times New Roman" w:hAnsi="Times New Roman" w:cs="Times New Roman"/>
          <w:sz w:val="24"/>
          <w:szCs w:val="24"/>
        </w:rPr>
        <w:t xml:space="preserve"> </w:t>
      </w:r>
      <w:r w:rsidR="006C61F9" w:rsidRPr="00141C43">
        <w:rPr>
          <w:rFonts w:ascii="Times New Roman" w:hAnsi="Times New Roman" w:cs="Times New Roman"/>
          <w:sz w:val="24"/>
          <w:szCs w:val="24"/>
        </w:rPr>
        <w:t xml:space="preserve">os critérios de classificação e seus efeitos para o IFRS9, </w:t>
      </w:r>
      <w:r w:rsidR="0018460B" w:rsidRPr="00141C43">
        <w:rPr>
          <w:rFonts w:ascii="Times New Roman" w:hAnsi="Times New Roman" w:cs="Times New Roman"/>
          <w:sz w:val="24"/>
          <w:szCs w:val="24"/>
        </w:rPr>
        <w:t>segundo a</w:t>
      </w:r>
      <w:r w:rsidR="00B05033" w:rsidRPr="00141C43">
        <w:rPr>
          <w:rFonts w:ascii="Times New Roman" w:hAnsi="Times New Roman" w:cs="Times New Roman"/>
          <w:sz w:val="24"/>
          <w:szCs w:val="24"/>
        </w:rPr>
        <w:t xml:space="preserve"> tabela</w:t>
      </w:r>
      <w:r w:rsidR="006C61F9" w:rsidRPr="00141C43">
        <w:rPr>
          <w:rFonts w:ascii="Times New Roman" w:hAnsi="Times New Roman" w:cs="Times New Roman"/>
          <w:sz w:val="24"/>
          <w:szCs w:val="24"/>
        </w:rPr>
        <w:t xml:space="preserve"> </w:t>
      </w:r>
      <w:r w:rsidR="002970AB">
        <w:rPr>
          <w:rFonts w:ascii="Times New Roman" w:hAnsi="Times New Roman" w:cs="Times New Roman"/>
          <w:sz w:val="24"/>
          <w:szCs w:val="24"/>
        </w:rPr>
        <w:t>3</w:t>
      </w:r>
      <w:r w:rsidR="00F66ED7" w:rsidRPr="00141C43">
        <w:rPr>
          <w:rFonts w:ascii="Times New Roman" w:hAnsi="Times New Roman" w:cs="Times New Roman"/>
          <w:sz w:val="24"/>
          <w:szCs w:val="24"/>
        </w:rPr>
        <w:t>:</w:t>
      </w:r>
    </w:p>
    <w:p w14:paraId="5D4DAFC1" w14:textId="50F2AC25" w:rsidR="00B05033" w:rsidRPr="00141C43" w:rsidRDefault="00B05033" w:rsidP="00B05033">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Tabela</w:t>
      </w:r>
      <w:r w:rsidR="002970AB">
        <w:rPr>
          <w:rFonts w:ascii="Times New Roman" w:hAnsi="Times New Roman" w:cs="Times New Roman"/>
          <w:sz w:val="24"/>
          <w:szCs w:val="24"/>
        </w:rPr>
        <w:t xml:space="preserve"> 3</w:t>
      </w:r>
    </w:p>
    <w:p w14:paraId="085C76DA" w14:textId="77777777" w:rsidR="006C61F9" w:rsidRPr="00141C43" w:rsidRDefault="006C61F9" w:rsidP="00B05033">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Resumo do IFRS9</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3"/>
        <w:gridCol w:w="2303"/>
        <w:gridCol w:w="2303"/>
      </w:tblGrid>
      <w:tr w:rsidR="006C61F9" w:rsidRPr="00141C43" w14:paraId="2D67C691" w14:textId="77777777" w:rsidTr="00B05033">
        <w:tc>
          <w:tcPr>
            <w:tcW w:w="2302" w:type="dxa"/>
            <w:tcBorders>
              <w:top w:val="single" w:sz="4" w:space="0" w:color="auto"/>
              <w:bottom w:val="single" w:sz="4" w:space="0" w:color="auto"/>
            </w:tcBorders>
          </w:tcPr>
          <w:p w14:paraId="5E4846B6" w14:textId="77777777" w:rsidR="006C61F9" w:rsidRPr="00141C43" w:rsidRDefault="006C61F9" w:rsidP="00B05033">
            <w:pPr>
              <w:jc w:val="center"/>
              <w:rPr>
                <w:rFonts w:ascii="Times New Roman" w:hAnsi="Times New Roman" w:cs="Times New Roman"/>
                <w:b/>
                <w:sz w:val="24"/>
                <w:szCs w:val="24"/>
              </w:rPr>
            </w:pPr>
            <w:r w:rsidRPr="00141C43">
              <w:rPr>
                <w:rFonts w:ascii="Times New Roman" w:hAnsi="Times New Roman" w:cs="Times New Roman"/>
                <w:b/>
                <w:sz w:val="24"/>
                <w:szCs w:val="24"/>
              </w:rPr>
              <w:t>Classificação</w:t>
            </w:r>
          </w:p>
        </w:tc>
        <w:tc>
          <w:tcPr>
            <w:tcW w:w="2303" w:type="dxa"/>
            <w:tcBorders>
              <w:top w:val="single" w:sz="4" w:space="0" w:color="auto"/>
              <w:bottom w:val="single" w:sz="4" w:space="0" w:color="auto"/>
            </w:tcBorders>
          </w:tcPr>
          <w:p w14:paraId="15CD92D4" w14:textId="77777777" w:rsidR="006C61F9" w:rsidRPr="00141C43" w:rsidRDefault="006C61F9" w:rsidP="00B05033">
            <w:pPr>
              <w:jc w:val="center"/>
              <w:rPr>
                <w:rFonts w:ascii="Times New Roman" w:hAnsi="Times New Roman" w:cs="Times New Roman"/>
                <w:b/>
                <w:sz w:val="24"/>
                <w:szCs w:val="24"/>
              </w:rPr>
            </w:pPr>
            <w:r w:rsidRPr="00141C43">
              <w:rPr>
                <w:rFonts w:ascii="Times New Roman" w:hAnsi="Times New Roman" w:cs="Times New Roman"/>
                <w:b/>
                <w:sz w:val="24"/>
                <w:szCs w:val="24"/>
              </w:rPr>
              <w:t>Descrição</w:t>
            </w:r>
          </w:p>
        </w:tc>
        <w:tc>
          <w:tcPr>
            <w:tcW w:w="2303" w:type="dxa"/>
            <w:tcBorders>
              <w:top w:val="single" w:sz="4" w:space="0" w:color="auto"/>
              <w:bottom w:val="single" w:sz="4" w:space="0" w:color="auto"/>
            </w:tcBorders>
          </w:tcPr>
          <w:p w14:paraId="0A869946" w14:textId="77777777" w:rsidR="006C61F9" w:rsidRPr="00141C43" w:rsidRDefault="006C61F9" w:rsidP="00B05033">
            <w:pPr>
              <w:jc w:val="center"/>
              <w:rPr>
                <w:rFonts w:ascii="Times New Roman" w:hAnsi="Times New Roman" w:cs="Times New Roman"/>
                <w:b/>
                <w:sz w:val="24"/>
                <w:szCs w:val="24"/>
              </w:rPr>
            </w:pPr>
            <w:r w:rsidRPr="00141C43">
              <w:rPr>
                <w:rFonts w:ascii="Times New Roman" w:hAnsi="Times New Roman" w:cs="Times New Roman"/>
                <w:b/>
                <w:sz w:val="24"/>
                <w:szCs w:val="24"/>
              </w:rPr>
              <w:t>Avaliação a valor justo</w:t>
            </w:r>
          </w:p>
        </w:tc>
        <w:tc>
          <w:tcPr>
            <w:tcW w:w="2303" w:type="dxa"/>
            <w:tcBorders>
              <w:top w:val="single" w:sz="4" w:space="0" w:color="auto"/>
              <w:bottom w:val="single" w:sz="4" w:space="0" w:color="auto"/>
            </w:tcBorders>
          </w:tcPr>
          <w:p w14:paraId="68B2C621" w14:textId="77777777" w:rsidR="006C61F9" w:rsidRPr="00141C43" w:rsidRDefault="006C61F9" w:rsidP="00B05033">
            <w:pPr>
              <w:jc w:val="center"/>
              <w:rPr>
                <w:rFonts w:ascii="Times New Roman" w:hAnsi="Times New Roman" w:cs="Times New Roman"/>
                <w:b/>
                <w:sz w:val="24"/>
                <w:szCs w:val="24"/>
              </w:rPr>
            </w:pPr>
            <w:r w:rsidRPr="00141C43">
              <w:rPr>
                <w:rFonts w:ascii="Times New Roman" w:hAnsi="Times New Roman" w:cs="Times New Roman"/>
                <w:b/>
                <w:sz w:val="24"/>
                <w:szCs w:val="24"/>
              </w:rPr>
              <w:t>Avaliação a custo amortizado</w:t>
            </w:r>
          </w:p>
        </w:tc>
      </w:tr>
      <w:tr w:rsidR="006C61F9" w:rsidRPr="00141C43" w14:paraId="067453EB" w14:textId="77777777" w:rsidTr="00B05033">
        <w:tc>
          <w:tcPr>
            <w:tcW w:w="2302" w:type="dxa"/>
            <w:tcBorders>
              <w:top w:val="single" w:sz="4" w:space="0" w:color="auto"/>
              <w:bottom w:val="single" w:sz="4" w:space="0" w:color="auto"/>
            </w:tcBorders>
          </w:tcPr>
          <w:p w14:paraId="013975B5" w14:textId="77777777" w:rsidR="006C61F9" w:rsidRPr="00141C43" w:rsidRDefault="008C57AF" w:rsidP="00B05033">
            <w:pPr>
              <w:spacing w:before="120" w:after="120" w:line="360" w:lineRule="auto"/>
              <w:jc w:val="center"/>
              <w:rPr>
                <w:rFonts w:ascii="Times New Roman" w:hAnsi="Times New Roman" w:cs="Times New Roman"/>
                <w:b/>
                <w:i/>
                <w:sz w:val="24"/>
                <w:szCs w:val="24"/>
              </w:rPr>
            </w:pPr>
            <w:r w:rsidRPr="00141C43">
              <w:rPr>
                <w:rFonts w:ascii="Times New Roman" w:hAnsi="Times New Roman" w:cs="Times New Roman"/>
                <w:b/>
                <w:i/>
                <w:sz w:val="24"/>
                <w:szCs w:val="24"/>
              </w:rPr>
              <w:t xml:space="preserve">Fair </w:t>
            </w:r>
            <w:proofErr w:type="spellStart"/>
            <w:r w:rsidRPr="00141C43">
              <w:rPr>
                <w:rFonts w:ascii="Times New Roman" w:hAnsi="Times New Roman" w:cs="Times New Roman"/>
                <w:b/>
                <w:i/>
                <w:sz w:val="24"/>
                <w:szCs w:val="24"/>
              </w:rPr>
              <w:t>value</w:t>
            </w:r>
            <w:proofErr w:type="spellEnd"/>
            <w:r w:rsidRPr="00141C43">
              <w:rPr>
                <w:rFonts w:ascii="Times New Roman" w:hAnsi="Times New Roman" w:cs="Times New Roman"/>
                <w:b/>
                <w:i/>
                <w:sz w:val="24"/>
                <w:szCs w:val="24"/>
              </w:rPr>
              <w:t xml:space="preserve"> </w:t>
            </w:r>
            <w:proofErr w:type="spellStart"/>
            <w:r w:rsidRPr="00141C43">
              <w:rPr>
                <w:rFonts w:ascii="Times New Roman" w:hAnsi="Times New Roman" w:cs="Times New Roman"/>
                <w:b/>
                <w:i/>
                <w:sz w:val="24"/>
                <w:szCs w:val="24"/>
              </w:rPr>
              <w:t>option</w:t>
            </w:r>
            <w:proofErr w:type="spellEnd"/>
          </w:p>
        </w:tc>
        <w:tc>
          <w:tcPr>
            <w:tcW w:w="2303" w:type="dxa"/>
            <w:tcBorders>
              <w:top w:val="single" w:sz="4" w:space="0" w:color="auto"/>
              <w:bottom w:val="single" w:sz="4" w:space="0" w:color="auto"/>
            </w:tcBorders>
          </w:tcPr>
          <w:p w14:paraId="146549BE" w14:textId="77777777" w:rsidR="006C61F9" w:rsidRPr="00141C43" w:rsidRDefault="008C57AF" w:rsidP="00B05033">
            <w:pPr>
              <w:pStyle w:val="PargrafodaLista"/>
              <w:numPr>
                <w:ilvl w:val="0"/>
                <w:numId w:val="19"/>
              </w:numPr>
              <w:spacing w:before="120" w:after="120"/>
              <w:ind w:left="258" w:hanging="284"/>
              <w:jc w:val="center"/>
              <w:rPr>
                <w:rFonts w:ascii="Times New Roman" w:hAnsi="Times New Roman" w:cs="Times New Roman"/>
                <w:sz w:val="24"/>
                <w:szCs w:val="24"/>
              </w:rPr>
            </w:pPr>
            <w:r w:rsidRPr="00141C43">
              <w:rPr>
                <w:rFonts w:ascii="Times New Roman" w:hAnsi="Times New Roman" w:cs="Times New Roman"/>
                <w:sz w:val="24"/>
                <w:szCs w:val="24"/>
              </w:rPr>
              <w:t>Ativos ou passivos financeiros determinados a curto prazo.</w:t>
            </w:r>
          </w:p>
          <w:p w14:paraId="0CCABF37" w14:textId="77777777" w:rsidR="008C57AF" w:rsidRPr="00141C43" w:rsidRDefault="008C57AF" w:rsidP="00B05033">
            <w:pPr>
              <w:pStyle w:val="PargrafodaLista"/>
              <w:numPr>
                <w:ilvl w:val="0"/>
                <w:numId w:val="19"/>
              </w:numPr>
              <w:spacing w:before="120" w:after="120"/>
              <w:ind w:left="258" w:hanging="284"/>
              <w:jc w:val="center"/>
              <w:rPr>
                <w:rFonts w:ascii="Times New Roman" w:hAnsi="Times New Roman" w:cs="Times New Roman"/>
                <w:sz w:val="24"/>
                <w:szCs w:val="24"/>
              </w:rPr>
            </w:pPr>
            <w:r w:rsidRPr="00141C43">
              <w:rPr>
                <w:rFonts w:ascii="Times New Roman" w:hAnsi="Times New Roman" w:cs="Times New Roman"/>
                <w:sz w:val="24"/>
                <w:szCs w:val="24"/>
              </w:rPr>
              <w:t>Todos os derivativos (exceto os que se enquadrem em estruturas de hedge).</w:t>
            </w:r>
          </w:p>
          <w:p w14:paraId="59166101" w14:textId="77777777" w:rsidR="008C57AF" w:rsidRPr="00141C43" w:rsidRDefault="008C57AF" w:rsidP="00B05033">
            <w:pPr>
              <w:pStyle w:val="PargrafodaLista"/>
              <w:numPr>
                <w:ilvl w:val="0"/>
                <w:numId w:val="19"/>
              </w:numPr>
              <w:spacing w:before="120" w:after="120"/>
              <w:ind w:left="258" w:hanging="284"/>
              <w:jc w:val="center"/>
              <w:rPr>
                <w:rFonts w:ascii="Times New Roman" w:hAnsi="Times New Roman" w:cs="Times New Roman"/>
                <w:sz w:val="24"/>
                <w:szCs w:val="24"/>
              </w:rPr>
            </w:pPr>
            <w:r w:rsidRPr="00141C43">
              <w:rPr>
                <w:rFonts w:ascii="Times New Roman" w:hAnsi="Times New Roman" w:cs="Times New Roman"/>
                <w:sz w:val="24"/>
                <w:szCs w:val="24"/>
              </w:rPr>
              <w:t>Qualquer item designado como tal na origem incluindo obrigações</w:t>
            </w:r>
          </w:p>
        </w:tc>
        <w:tc>
          <w:tcPr>
            <w:tcW w:w="2303" w:type="dxa"/>
            <w:tcBorders>
              <w:top w:val="single" w:sz="4" w:space="0" w:color="auto"/>
              <w:bottom w:val="single" w:sz="4" w:space="0" w:color="auto"/>
            </w:tcBorders>
          </w:tcPr>
          <w:p w14:paraId="4A945883" w14:textId="77777777" w:rsidR="006C61F9" w:rsidRPr="00141C43" w:rsidRDefault="008C57AF" w:rsidP="00B05033">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Sim, com o registro diretamente no resultado.</w:t>
            </w:r>
          </w:p>
        </w:tc>
        <w:tc>
          <w:tcPr>
            <w:tcW w:w="2303" w:type="dxa"/>
            <w:tcBorders>
              <w:top w:val="single" w:sz="4" w:space="0" w:color="auto"/>
              <w:bottom w:val="single" w:sz="4" w:space="0" w:color="auto"/>
            </w:tcBorders>
          </w:tcPr>
          <w:p w14:paraId="38148663" w14:textId="77777777" w:rsidR="006C61F9" w:rsidRPr="00141C43" w:rsidRDefault="008C57AF" w:rsidP="00B05033">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Não</w:t>
            </w:r>
          </w:p>
        </w:tc>
      </w:tr>
      <w:tr w:rsidR="006C61F9" w:rsidRPr="00141C43" w14:paraId="07439512" w14:textId="77777777" w:rsidTr="00B05033">
        <w:tc>
          <w:tcPr>
            <w:tcW w:w="2302" w:type="dxa"/>
            <w:tcBorders>
              <w:top w:val="single" w:sz="4" w:space="0" w:color="auto"/>
              <w:bottom w:val="single" w:sz="4" w:space="0" w:color="auto"/>
            </w:tcBorders>
          </w:tcPr>
          <w:p w14:paraId="37C40A94" w14:textId="28E9047E" w:rsidR="006C61F9" w:rsidRPr="00446303" w:rsidRDefault="008C57AF" w:rsidP="00B05033">
            <w:pPr>
              <w:spacing w:before="120" w:after="120"/>
              <w:jc w:val="center"/>
              <w:rPr>
                <w:rFonts w:ascii="Times New Roman" w:hAnsi="Times New Roman" w:cs="Times New Roman"/>
                <w:b/>
                <w:sz w:val="24"/>
                <w:szCs w:val="24"/>
                <w:lang w:val="en-US"/>
              </w:rPr>
            </w:pPr>
            <w:r w:rsidRPr="00141C43">
              <w:rPr>
                <w:rFonts w:ascii="Times New Roman" w:hAnsi="Times New Roman" w:cs="Times New Roman"/>
                <w:b/>
                <w:i/>
                <w:sz w:val="24"/>
                <w:szCs w:val="24"/>
                <w:lang w:val="en-US"/>
              </w:rPr>
              <w:t xml:space="preserve">Fair value Other </w:t>
            </w:r>
            <w:proofErr w:type="spellStart"/>
            <w:r w:rsidRPr="00141C43">
              <w:rPr>
                <w:rFonts w:ascii="Times New Roman" w:hAnsi="Times New Roman" w:cs="Times New Roman"/>
                <w:b/>
                <w:i/>
                <w:sz w:val="24"/>
                <w:szCs w:val="24"/>
                <w:lang w:val="en-US"/>
              </w:rPr>
              <w:t>Conprehensive</w:t>
            </w:r>
            <w:proofErr w:type="spellEnd"/>
            <w:r w:rsidRPr="00141C43">
              <w:rPr>
                <w:rFonts w:ascii="Times New Roman" w:hAnsi="Times New Roman" w:cs="Times New Roman"/>
                <w:b/>
                <w:i/>
                <w:sz w:val="24"/>
                <w:szCs w:val="24"/>
                <w:lang w:val="en-US"/>
              </w:rPr>
              <w:t xml:space="preserve"> Income</w:t>
            </w:r>
            <w:r w:rsidR="00446303">
              <w:rPr>
                <w:rFonts w:ascii="Times New Roman" w:hAnsi="Times New Roman" w:cs="Times New Roman"/>
                <w:b/>
                <w:sz w:val="24"/>
                <w:szCs w:val="24"/>
                <w:lang w:val="en-US"/>
              </w:rPr>
              <w:t xml:space="preserve"> (FVOCI)</w:t>
            </w:r>
          </w:p>
        </w:tc>
        <w:tc>
          <w:tcPr>
            <w:tcW w:w="2303" w:type="dxa"/>
            <w:tcBorders>
              <w:top w:val="single" w:sz="4" w:space="0" w:color="auto"/>
              <w:bottom w:val="single" w:sz="4" w:space="0" w:color="auto"/>
            </w:tcBorders>
          </w:tcPr>
          <w:p w14:paraId="76D6B00C" w14:textId="77777777" w:rsidR="006C61F9" w:rsidRPr="00141C43" w:rsidRDefault="008C57AF" w:rsidP="00B05033">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Todos os ativos não incluídos na categoria acima e que estejam designados a longo prazo</w:t>
            </w:r>
          </w:p>
        </w:tc>
        <w:tc>
          <w:tcPr>
            <w:tcW w:w="2303" w:type="dxa"/>
            <w:tcBorders>
              <w:top w:val="single" w:sz="4" w:space="0" w:color="auto"/>
              <w:bottom w:val="single" w:sz="4" w:space="0" w:color="auto"/>
            </w:tcBorders>
          </w:tcPr>
          <w:p w14:paraId="252CA5DC" w14:textId="77777777" w:rsidR="006C61F9" w:rsidRPr="00141C43" w:rsidRDefault="008C57AF" w:rsidP="00B05033">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 xml:space="preserve">Sim, </w:t>
            </w:r>
            <w:proofErr w:type="spellStart"/>
            <w:r w:rsidRPr="00141C43">
              <w:rPr>
                <w:rFonts w:ascii="Times New Roman" w:hAnsi="Times New Roman" w:cs="Times New Roman"/>
                <w:sz w:val="24"/>
                <w:szCs w:val="24"/>
              </w:rPr>
              <w:t>marcado</w:t>
            </w:r>
            <w:proofErr w:type="spellEnd"/>
            <w:r w:rsidRPr="00141C43">
              <w:rPr>
                <w:rFonts w:ascii="Times New Roman" w:hAnsi="Times New Roman" w:cs="Times New Roman"/>
                <w:sz w:val="24"/>
                <w:szCs w:val="24"/>
              </w:rPr>
              <w:t xml:space="preserve"> a mercado depois de amortizado sua receita ou custo.</w:t>
            </w:r>
          </w:p>
        </w:tc>
        <w:tc>
          <w:tcPr>
            <w:tcW w:w="2303" w:type="dxa"/>
            <w:tcBorders>
              <w:top w:val="single" w:sz="4" w:space="0" w:color="auto"/>
              <w:bottom w:val="single" w:sz="4" w:space="0" w:color="auto"/>
            </w:tcBorders>
          </w:tcPr>
          <w:p w14:paraId="3CE3B92C" w14:textId="77777777" w:rsidR="006C61F9" w:rsidRPr="00141C43" w:rsidRDefault="008C57AF" w:rsidP="00B05033">
            <w:pPr>
              <w:spacing w:before="120" w:after="120"/>
              <w:jc w:val="center"/>
              <w:rPr>
                <w:rFonts w:ascii="Times New Roman" w:hAnsi="Times New Roman" w:cs="Times New Roman"/>
                <w:sz w:val="24"/>
                <w:szCs w:val="24"/>
              </w:rPr>
            </w:pPr>
            <w:r w:rsidRPr="00141C43">
              <w:rPr>
                <w:rFonts w:ascii="Times New Roman" w:hAnsi="Times New Roman" w:cs="Times New Roman"/>
                <w:sz w:val="24"/>
                <w:szCs w:val="24"/>
              </w:rPr>
              <w:t>Sim, todos serão aplicados o custo amortizado ou no caso de ativo “receita amortizada”.</w:t>
            </w:r>
          </w:p>
        </w:tc>
      </w:tr>
    </w:tbl>
    <w:p w14:paraId="2B1715AB" w14:textId="77777777" w:rsidR="007C1B51" w:rsidRPr="00141C43" w:rsidRDefault="007C1B51" w:rsidP="007C1B51">
      <w:pPr>
        <w:spacing w:before="120" w:after="120" w:line="360" w:lineRule="auto"/>
        <w:ind w:firstLine="709"/>
        <w:jc w:val="both"/>
        <w:rPr>
          <w:rFonts w:ascii="Times New Roman" w:hAnsi="Times New Roman" w:cs="Times New Roman"/>
          <w:i/>
          <w:sz w:val="24"/>
          <w:szCs w:val="24"/>
        </w:rPr>
      </w:pPr>
      <w:r w:rsidRPr="00141C43">
        <w:rPr>
          <w:rFonts w:ascii="Times New Roman" w:hAnsi="Times New Roman" w:cs="Times New Roman"/>
          <w:i/>
          <w:sz w:val="24"/>
          <w:szCs w:val="24"/>
        </w:rPr>
        <w:t>Compra do título e avaliação do critério a ser adotado</w:t>
      </w:r>
    </w:p>
    <w:p w14:paraId="2FA70395" w14:textId="5DB7F463" w:rsidR="0037174E" w:rsidRDefault="00282C33" w:rsidP="0076670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A</w:t>
      </w:r>
      <w:r w:rsidR="00FC0F62" w:rsidRPr="00141C43">
        <w:rPr>
          <w:rFonts w:ascii="Times New Roman" w:hAnsi="Times New Roman" w:cs="Times New Roman"/>
          <w:sz w:val="24"/>
          <w:szCs w:val="24"/>
        </w:rPr>
        <w:t xml:space="preserve"> </w:t>
      </w:r>
      <w:r w:rsidRPr="00141C43">
        <w:rPr>
          <w:rFonts w:ascii="Times New Roman" w:hAnsi="Times New Roman" w:cs="Times New Roman"/>
          <w:sz w:val="24"/>
          <w:szCs w:val="24"/>
        </w:rPr>
        <w:t xml:space="preserve">instituição deverá </w:t>
      </w:r>
      <w:r w:rsidR="008C57AF" w:rsidRPr="00141C43">
        <w:rPr>
          <w:rFonts w:ascii="Times New Roman" w:hAnsi="Times New Roman" w:cs="Times New Roman"/>
          <w:sz w:val="24"/>
          <w:szCs w:val="24"/>
        </w:rPr>
        <w:t xml:space="preserve">saber </w:t>
      </w:r>
      <w:r w:rsidR="00F66ED7" w:rsidRPr="00141C43">
        <w:rPr>
          <w:rFonts w:ascii="Times New Roman" w:hAnsi="Times New Roman" w:cs="Times New Roman"/>
          <w:sz w:val="24"/>
          <w:szCs w:val="24"/>
        </w:rPr>
        <w:t xml:space="preserve">para qual </w:t>
      </w:r>
      <w:r w:rsidR="008C57AF" w:rsidRPr="00141C43">
        <w:rPr>
          <w:rFonts w:ascii="Times New Roman" w:hAnsi="Times New Roman" w:cs="Times New Roman"/>
          <w:sz w:val="24"/>
          <w:szCs w:val="24"/>
        </w:rPr>
        <w:t>tipo de negócio</w:t>
      </w:r>
      <w:r w:rsidR="00103F58" w:rsidRPr="00141C43">
        <w:rPr>
          <w:rFonts w:ascii="Times New Roman" w:hAnsi="Times New Roman" w:cs="Times New Roman"/>
          <w:sz w:val="24"/>
          <w:szCs w:val="24"/>
        </w:rPr>
        <w:t xml:space="preserve"> o título </w:t>
      </w:r>
      <w:r w:rsidR="00B362CE" w:rsidRPr="00141C43">
        <w:rPr>
          <w:rFonts w:ascii="Times New Roman" w:hAnsi="Times New Roman" w:cs="Times New Roman"/>
          <w:sz w:val="24"/>
          <w:szCs w:val="24"/>
        </w:rPr>
        <w:t>será</w:t>
      </w:r>
      <w:r w:rsidR="00103F58" w:rsidRPr="00141C43">
        <w:rPr>
          <w:rFonts w:ascii="Times New Roman" w:hAnsi="Times New Roman" w:cs="Times New Roman"/>
          <w:sz w:val="24"/>
          <w:szCs w:val="24"/>
        </w:rPr>
        <w:t xml:space="preserve"> designado</w:t>
      </w:r>
      <w:r w:rsidR="00B362CE" w:rsidRPr="00141C43">
        <w:rPr>
          <w:rFonts w:ascii="Times New Roman" w:hAnsi="Times New Roman" w:cs="Times New Roman"/>
          <w:sz w:val="24"/>
          <w:szCs w:val="24"/>
        </w:rPr>
        <w:t>, em que</w:t>
      </w:r>
      <w:r w:rsidR="00103F58" w:rsidRPr="00141C43">
        <w:rPr>
          <w:rFonts w:ascii="Times New Roman" w:hAnsi="Times New Roman" w:cs="Times New Roman"/>
          <w:sz w:val="24"/>
          <w:szCs w:val="24"/>
        </w:rPr>
        <w:t xml:space="preserve"> irá</w:t>
      </w:r>
      <w:r w:rsidR="00290B27" w:rsidRPr="00141C43">
        <w:rPr>
          <w:rFonts w:ascii="Times New Roman" w:hAnsi="Times New Roman" w:cs="Times New Roman"/>
          <w:sz w:val="24"/>
          <w:szCs w:val="24"/>
        </w:rPr>
        <w:t xml:space="preserve"> definir </w:t>
      </w:r>
      <w:r w:rsidR="00B362CE" w:rsidRPr="00141C43">
        <w:rPr>
          <w:rFonts w:ascii="Times New Roman" w:hAnsi="Times New Roman" w:cs="Times New Roman"/>
          <w:sz w:val="24"/>
          <w:szCs w:val="24"/>
        </w:rPr>
        <w:t>seu método de mensuração</w:t>
      </w:r>
      <w:r w:rsidR="00936E5E" w:rsidRPr="00141C43">
        <w:rPr>
          <w:rFonts w:ascii="Times New Roman" w:hAnsi="Times New Roman" w:cs="Times New Roman"/>
          <w:sz w:val="24"/>
          <w:szCs w:val="24"/>
        </w:rPr>
        <w:t>;</w:t>
      </w:r>
      <w:r w:rsidR="00EC38A2" w:rsidRPr="00141C43">
        <w:rPr>
          <w:rFonts w:ascii="Times New Roman" w:hAnsi="Times New Roman" w:cs="Times New Roman"/>
          <w:sz w:val="24"/>
          <w:szCs w:val="24"/>
        </w:rPr>
        <w:t xml:space="preserve"> ou seja, os títulos destinados </w:t>
      </w:r>
      <w:r w:rsidR="00936E5E" w:rsidRPr="00141C43">
        <w:rPr>
          <w:rFonts w:ascii="Times New Roman" w:hAnsi="Times New Roman" w:cs="Times New Roman"/>
          <w:sz w:val="24"/>
          <w:szCs w:val="24"/>
        </w:rPr>
        <w:t>a</w:t>
      </w:r>
      <w:r w:rsidR="00EC38A2" w:rsidRPr="00141C43">
        <w:rPr>
          <w:rFonts w:ascii="Times New Roman" w:hAnsi="Times New Roman" w:cs="Times New Roman"/>
          <w:sz w:val="24"/>
          <w:szCs w:val="24"/>
        </w:rPr>
        <w:t xml:space="preserve"> curto prazo v</w:t>
      </w:r>
      <w:r w:rsidR="006E6912" w:rsidRPr="00141C43">
        <w:rPr>
          <w:rFonts w:ascii="Times New Roman" w:hAnsi="Times New Roman" w:cs="Times New Roman"/>
          <w:sz w:val="24"/>
          <w:szCs w:val="24"/>
        </w:rPr>
        <w:t>ão</w:t>
      </w:r>
      <w:r w:rsidR="00EC38A2" w:rsidRPr="00141C43">
        <w:rPr>
          <w:rFonts w:ascii="Times New Roman" w:hAnsi="Times New Roman" w:cs="Times New Roman"/>
          <w:sz w:val="24"/>
          <w:szCs w:val="24"/>
        </w:rPr>
        <w:t xml:space="preserve"> para o </w:t>
      </w:r>
      <w:r w:rsidR="00EC38A2" w:rsidRPr="00141C43">
        <w:rPr>
          <w:rFonts w:ascii="Times New Roman" w:hAnsi="Times New Roman" w:cs="Times New Roman"/>
          <w:i/>
          <w:sz w:val="24"/>
          <w:szCs w:val="24"/>
        </w:rPr>
        <w:t xml:space="preserve">Fair </w:t>
      </w:r>
      <w:proofErr w:type="spellStart"/>
      <w:r w:rsidR="00EC38A2" w:rsidRPr="00141C43">
        <w:rPr>
          <w:rFonts w:ascii="Times New Roman" w:hAnsi="Times New Roman" w:cs="Times New Roman"/>
          <w:i/>
          <w:sz w:val="24"/>
          <w:szCs w:val="24"/>
        </w:rPr>
        <w:t>Value</w:t>
      </w:r>
      <w:proofErr w:type="spellEnd"/>
      <w:r w:rsidR="00EC38A2" w:rsidRPr="00141C43">
        <w:rPr>
          <w:rFonts w:ascii="Times New Roman" w:hAnsi="Times New Roman" w:cs="Times New Roman"/>
          <w:i/>
          <w:sz w:val="24"/>
          <w:szCs w:val="24"/>
        </w:rPr>
        <w:t xml:space="preserve"> </w:t>
      </w:r>
      <w:proofErr w:type="spellStart"/>
      <w:r w:rsidR="00EC38A2" w:rsidRPr="00141C43">
        <w:rPr>
          <w:rFonts w:ascii="Times New Roman" w:hAnsi="Times New Roman" w:cs="Times New Roman"/>
          <w:i/>
          <w:sz w:val="24"/>
          <w:szCs w:val="24"/>
        </w:rPr>
        <w:t>Option</w:t>
      </w:r>
      <w:proofErr w:type="spellEnd"/>
      <w:r w:rsidR="00936E5E" w:rsidRPr="00141C43">
        <w:rPr>
          <w:rFonts w:ascii="Times New Roman" w:hAnsi="Times New Roman" w:cs="Times New Roman"/>
          <w:i/>
          <w:sz w:val="24"/>
          <w:szCs w:val="24"/>
        </w:rPr>
        <w:t>,</w:t>
      </w:r>
      <w:r w:rsidR="00936E5E" w:rsidRPr="00141C43">
        <w:rPr>
          <w:rFonts w:ascii="Times New Roman" w:hAnsi="Times New Roman" w:cs="Times New Roman"/>
          <w:sz w:val="24"/>
          <w:szCs w:val="24"/>
        </w:rPr>
        <w:t xml:space="preserve"> e os que estão destinados a</w:t>
      </w:r>
      <w:r w:rsidR="00EC38A2" w:rsidRPr="00141C43">
        <w:rPr>
          <w:rFonts w:ascii="Times New Roman" w:hAnsi="Times New Roman" w:cs="Times New Roman"/>
          <w:sz w:val="24"/>
          <w:szCs w:val="24"/>
        </w:rPr>
        <w:t xml:space="preserve"> ficar com a instituição por longo prazo</w:t>
      </w:r>
      <w:r w:rsidR="006E6912" w:rsidRPr="00141C43">
        <w:rPr>
          <w:rFonts w:ascii="Times New Roman" w:hAnsi="Times New Roman" w:cs="Times New Roman"/>
          <w:sz w:val="24"/>
          <w:szCs w:val="24"/>
        </w:rPr>
        <w:t>, para</w:t>
      </w:r>
      <w:r w:rsidR="00EC38A2" w:rsidRPr="00141C43">
        <w:rPr>
          <w:rFonts w:ascii="Times New Roman" w:hAnsi="Times New Roman" w:cs="Times New Roman"/>
          <w:sz w:val="24"/>
          <w:szCs w:val="24"/>
        </w:rPr>
        <w:t xml:space="preserve"> o FVOCI</w:t>
      </w:r>
      <w:r w:rsidR="00FC0F62" w:rsidRPr="00141C43">
        <w:rPr>
          <w:rFonts w:ascii="Times New Roman" w:hAnsi="Times New Roman" w:cs="Times New Roman"/>
          <w:sz w:val="24"/>
          <w:szCs w:val="24"/>
        </w:rPr>
        <w:t>.</w:t>
      </w:r>
    </w:p>
    <w:p w14:paraId="3D7B7B13" w14:textId="6E5A0BED" w:rsidR="00340BD0" w:rsidRDefault="00340BD0" w:rsidP="00D55EBA">
      <w:pPr>
        <w:pStyle w:val="Ttulo1"/>
        <w:spacing w:before="240" w:after="240" w:line="240" w:lineRule="auto"/>
        <w:rPr>
          <w:rFonts w:ascii="Times New Roman" w:hAnsi="Times New Roman" w:cs="Times New Roman"/>
          <w:color w:val="000000" w:themeColor="text1"/>
          <w:sz w:val="24"/>
          <w:szCs w:val="24"/>
        </w:rPr>
      </w:pPr>
      <w:bookmarkStart w:id="8" w:name="_Toc469928719"/>
    </w:p>
    <w:p w14:paraId="0F886BC7" w14:textId="77777777" w:rsidR="00340BD0" w:rsidRPr="00340BD0" w:rsidRDefault="00340BD0" w:rsidP="00340BD0"/>
    <w:p w14:paraId="47D385A2" w14:textId="64DAEB23" w:rsidR="002D40B8" w:rsidRPr="00141C43" w:rsidRDefault="002D40B8" w:rsidP="00D55EBA">
      <w:pPr>
        <w:pStyle w:val="Ttulo1"/>
        <w:spacing w:before="240" w:after="240" w:line="240" w:lineRule="auto"/>
        <w:rPr>
          <w:rFonts w:ascii="Times New Roman" w:hAnsi="Times New Roman" w:cs="Times New Roman"/>
          <w:color w:val="000000" w:themeColor="text1"/>
          <w:sz w:val="24"/>
          <w:szCs w:val="24"/>
        </w:rPr>
      </w:pPr>
      <w:r w:rsidRPr="00141C43">
        <w:rPr>
          <w:rFonts w:ascii="Times New Roman" w:hAnsi="Times New Roman" w:cs="Times New Roman"/>
          <w:color w:val="000000" w:themeColor="text1"/>
          <w:sz w:val="24"/>
          <w:szCs w:val="24"/>
        </w:rPr>
        <w:lastRenderedPageBreak/>
        <w:t xml:space="preserve">3 – </w:t>
      </w:r>
      <w:r w:rsidR="001C67EA">
        <w:rPr>
          <w:rFonts w:ascii="Times New Roman" w:hAnsi="Times New Roman" w:cs="Times New Roman"/>
          <w:color w:val="000000" w:themeColor="text1"/>
          <w:sz w:val="24"/>
          <w:szCs w:val="24"/>
        </w:rPr>
        <w:t>Dados e Métodos</w:t>
      </w:r>
      <w:bookmarkEnd w:id="8"/>
    </w:p>
    <w:p w14:paraId="02E9872A" w14:textId="4397FDA9" w:rsidR="002D40B8" w:rsidRPr="00141C43" w:rsidRDefault="002D40B8" w:rsidP="00D55EBA">
      <w:pPr>
        <w:pStyle w:val="Ttulo2"/>
        <w:spacing w:before="240" w:after="240" w:line="240" w:lineRule="auto"/>
        <w:rPr>
          <w:rFonts w:ascii="Times New Roman" w:hAnsi="Times New Roman" w:cs="Times New Roman"/>
          <w:color w:val="000000" w:themeColor="text1"/>
          <w:sz w:val="24"/>
        </w:rPr>
      </w:pPr>
      <w:bookmarkStart w:id="9" w:name="_Toc469928720"/>
      <w:r w:rsidRPr="00141C43">
        <w:rPr>
          <w:rFonts w:ascii="Times New Roman" w:hAnsi="Times New Roman" w:cs="Times New Roman"/>
          <w:color w:val="000000" w:themeColor="text1"/>
          <w:sz w:val="24"/>
        </w:rPr>
        <w:t xml:space="preserve">3.1 – </w:t>
      </w:r>
      <w:r w:rsidR="000A7DCE">
        <w:rPr>
          <w:rFonts w:ascii="Times New Roman" w:hAnsi="Times New Roman" w:cs="Times New Roman"/>
          <w:color w:val="000000" w:themeColor="text1"/>
          <w:sz w:val="24"/>
        </w:rPr>
        <w:t>Seleção d</w:t>
      </w:r>
      <w:r w:rsidR="004812ED">
        <w:rPr>
          <w:rFonts w:ascii="Times New Roman" w:hAnsi="Times New Roman" w:cs="Times New Roman"/>
          <w:color w:val="000000" w:themeColor="text1"/>
          <w:sz w:val="24"/>
        </w:rPr>
        <w:t>as empresas e obtenção de relató</w:t>
      </w:r>
      <w:r w:rsidR="000A7DCE">
        <w:rPr>
          <w:rFonts w:ascii="Times New Roman" w:hAnsi="Times New Roman" w:cs="Times New Roman"/>
          <w:color w:val="000000" w:themeColor="text1"/>
          <w:sz w:val="24"/>
        </w:rPr>
        <w:t>rios</w:t>
      </w:r>
      <w:bookmarkEnd w:id="9"/>
    </w:p>
    <w:p w14:paraId="5013083D" w14:textId="77777777" w:rsidR="000A7DCE" w:rsidRPr="00141C43" w:rsidRDefault="000A7DCE" w:rsidP="000A7DC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Para este estudo, foram utilizadas as demonstrações consolidadas das seguradoras que operam no Brasil, publicadas em 31 de dezembro de 2015. O foco foi nas instituições financeiras que compõem o quadro econômico-financeiro do ramo de mercado segurador deste País: seguradoras, previdência privada e capitalizações consolidadas, segundo norma do IFRS, Bacen e Susep. </w:t>
      </w:r>
    </w:p>
    <w:p w14:paraId="58CCB33F" w14:textId="358BCCE0" w:rsidR="000A7DCE" w:rsidRDefault="000A7DCE" w:rsidP="000A7DC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Nos </w:t>
      </w:r>
      <w:r w:rsidRPr="00141C43">
        <w:rPr>
          <w:rFonts w:ascii="Times New Roman" w:hAnsi="Times New Roman" w:cs="Times New Roman"/>
          <w:i/>
          <w:sz w:val="24"/>
          <w:szCs w:val="24"/>
        </w:rPr>
        <w:t>sites</w:t>
      </w:r>
      <w:r w:rsidRPr="00141C43">
        <w:rPr>
          <w:rFonts w:ascii="Times New Roman" w:hAnsi="Times New Roman" w:cs="Times New Roman"/>
          <w:sz w:val="24"/>
          <w:szCs w:val="24"/>
        </w:rPr>
        <w:t xml:space="preserve"> das seguradoras, procurou-se localizar onde estavam informados os dados sobre os instrumentos financeiros. As informações foram disponibilizadas em 31 de dezembro de 2015, em notas explicativas e demonstrações contábeis, pelo </w:t>
      </w:r>
      <w:r w:rsidRPr="00141C43">
        <w:rPr>
          <w:rFonts w:ascii="Times New Roman" w:hAnsi="Times New Roman" w:cs="Times New Roman"/>
          <w:i/>
          <w:sz w:val="24"/>
          <w:szCs w:val="24"/>
        </w:rPr>
        <w:t xml:space="preserve">link </w:t>
      </w:r>
      <w:r w:rsidRPr="00141C43">
        <w:rPr>
          <w:rFonts w:ascii="Times New Roman" w:hAnsi="Times New Roman" w:cs="Times New Roman"/>
          <w:sz w:val="24"/>
          <w:szCs w:val="24"/>
        </w:rPr>
        <w:t xml:space="preserve">“Relações com Investidores”. Registra-se que, para algumas seguradoras, os dados foram difíceis de </w:t>
      </w:r>
      <w:proofErr w:type="spellStart"/>
      <w:r w:rsidRPr="00141C43">
        <w:rPr>
          <w:rFonts w:ascii="Times New Roman" w:hAnsi="Times New Roman" w:cs="Times New Roman"/>
          <w:sz w:val="24"/>
          <w:szCs w:val="24"/>
        </w:rPr>
        <w:t>ser</w:t>
      </w:r>
      <w:proofErr w:type="spellEnd"/>
      <w:r w:rsidRPr="00141C43">
        <w:rPr>
          <w:rFonts w:ascii="Times New Roman" w:hAnsi="Times New Roman" w:cs="Times New Roman"/>
          <w:sz w:val="24"/>
          <w:szCs w:val="24"/>
        </w:rPr>
        <w:t xml:space="preserve"> localizados. Foi encontrado, pelo </w:t>
      </w:r>
      <w:r w:rsidRPr="00141C43">
        <w:rPr>
          <w:rFonts w:ascii="Times New Roman" w:hAnsi="Times New Roman" w:cs="Times New Roman"/>
          <w:i/>
          <w:sz w:val="24"/>
          <w:szCs w:val="24"/>
        </w:rPr>
        <w:t xml:space="preserve">site </w:t>
      </w:r>
      <w:r w:rsidRPr="00141C43">
        <w:rPr>
          <w:rFonts w:ascii="Times New Roman" w:hAnsi="Times New Roman" w:cs="Times New Roman"/>
          <w:sz w:val="24"/>
          <w:szCs w:val="24"/>
        </w:rPr>
        <w:t>do Sindicado das Empresas de Seguros, Resseguros e Capitalização, o ranking de ativos por produto e ativos financeir</w:t>
      </w:r>
      <w:r w:rsidR="002970AB">
        <w:rPr>
          <w:rFonts w:ascii="Times New Roman" w:hAnsi="Times New Roman" w:cs="Times New Roman"/>
          <w:sz w:val="24"/>
          <w:szCs w:val="24"/>
        </w:rPr>
        <w:t>os, como demonstrado na tabela 4</w:t>
      </w:r>
      <w:r w:rsidRPr="00141C43">
        <w:rPr>
          <w:rFonts w:ascii="Times New Roman" w:hAnsi="Times New Roman" w:cs="Times New Roman"/>
          <w:sz w:val="24"/>
          <w:szCs w:val="24"/>
        </w:rPr>
        <w:t>, adiante.</w:t>
      </w:r>
    </w:p>
    <w:p w14:paraId="25552D9A" w14:textId="511F5294" w:rsidR="000A7DCE" w:rsidRPr="00141C43" w:rsidRDefault="000A7DCE" w:rsidP="000A7DCE">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Tabela</w:t>
      </w:r>
      <w:r w:rsidR="002970AB">
        <w:rPr>
          <w:rFonts w:ascii="Times New Roman" w:hAnsi="Times New Roman" w:cs="Times New Roman"/>
          <w:sz w:val="24"/>
          <w:szCs w:val="24"/>
        </w:rPr>
        <w:t xml:space="preserve"> 4</w:t>
      </w:r>
    </w:p>
    <w:p w14:paraId="4FC32C69" w14:textId="77777777" w:rsidR="000A7DCE" w:rsidRPr="00141C43" w:rsidRDefault="000A7DCE" w:rsidP="000A7DCE">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Participação percent</w:t>
      </w:r>
      <w:r>
        <w:rPr>
          <w:rFonts w:ascii="Times New Roman" w:hAnsi="Times New Roman" w:cs="Times New Roman"/>
          <w:b/>
          <w:sz w:val="24"/>
          <w:szCs w:val="24"/>
        </w:rPr>
        <w:t>ual das s</w:t>
      </w:r>
      <w:r w:rsidRPr="00141C43">
        <w:rPr>
          <w:rFonts w:ascii="Times New Roman" w:hAnsi="Times New Roman" w:cs="Times New Roman"/>
          <w:b/>
          <w:sz w:val="24"/>
          <w:szCs w:val="24"/>
        </w:rPr>
        <w:t>eguradoras analisadas no estudo</w:t>
      </w:r>
    </w:p>
    <w:tbl>
      <w:tblPr>
        <w:tblW w:w="8867" w:type="dxa"/>
        <w:tblInd w:w="80" w:type="dxa"/>
        <w:tblCellMar>
          <w:left w:w="70" w:type="dxa"/>
          <w:right w:w="70" w:type="dxa"/>
        </w:tblCellMar>
        <w:tblLook w:val="04A0" w:firstRow="1" w:lastRow="0" w:firstColumn="1" w:lastColumn="0" w:noHBand="0" w:noVBand="1"/>
      </w:tblPr>
      <w:tblGrid>
        <w:gridCol w:w="5320"/>
        <w:gridCol w:w="2467"/>
        <w:gridCol w:w="1080"/>
      </w:tblGrid>
      <w:tr w:rsidR="000A7DCE" w:rsidRPr="00141C43" w14:paraId="48B3D5E9" w14:textId="77777777" w:rsidTr="00BF2F6C">
        <w:trPr>
          <w:trHeight w:val="315"/>
        </w:trPr>
        <w:tc>
          <w:tcPr>
            <w:tcW w:w="5320" w:type="dxa"/>
            <w:tcBorders>
              <w:top w:val="single" w:sz="4" w:space="0" w:color="auto"/>
              <w:bottom w:val="single" w:sz="4" w:space="0" w:color="auto"/>
            </w:tcBorders>
            <w:shd w:val="clear" w:color="auto" w:fill="auto"/>
            <w:noWrap/>
            <w:vAlign w:val="bottom"/>
            <w:hideMark/>
          </w:tcPr>
          <w:p w14:paraId="0D8B8C38" w14:textId="77777777" w:rsidR="000A7DCE" w:rsidRPr="00141C43" w:rsidRDefault="000A7DCE"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Seguradora </w:t>
            </w:r>
          </w:p>
        </w:tc>
        <w:tc>
          <w:tcPr>
            <w:tcW w:w="2467" w:type="dxa"/>
            <w:tcBorders>
              <w:top w:val="single" w:sz="4" w:space="0" w:color="auto"/>
              <w:bottom w:val="single" w:sz="4" w:space="0" w:color="auto"/>
            </w:tcBorders>
            <w:shd w:val="clear" w:color="auto" w:fill="auto"/>
            <w:noWrap/>
            <w:vAlign w:val="bottom"/>
            <w:hideMark/>
          </w:tcPr>
          <w:p w14:paraId="3D8EEC2D" w14:textId="77777777" w:rsidR="000A7DCE" w:rsidRPr="00141C43" w:rsidRDefault="000A7DCE"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2015</w:t>
            </w:r>
          </w:p>
        </w:tc>
        <w:tc>
          <w:tcPr>
            <w:tcW w:w="1080" w:type="dxa"/>
            <w:tcBorders>
              <w:top w:val="single" w:sz="4" w:space="0" w:color="auto"/>
              <w:bottom w:val="single" w:sz="4" w:space="0" w:color="auto"/>
            </w:tcBorders>
            <w:shd w:val="clear" w:color="auto" w:fill="auto"/>
            <w:noWrap/>
            <w:vAlign w:val="bottom"/>
            <w:hideMark/>
          </w:tcPr>
          <w:p w14:paraId="2F075E27" w14:textId="77777777" w:rsidR="000A7DCE" w:rsidRPr="00141C43" w:rsidRDefault="000A7DCE"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w:t>
            </w:r>
          </w:p>
        </w:tc>
      </w:tr>
      <w:tr w:rsidR="000A7DCE" w:rsidRPr="00141C43" w14:paraId="4EB8E800" w14:textId="77777777" w:rsidTr="00BF2F6C">
        <w:trPr>
          <w:trHeight w:val="315"/>
        </w:trPr>
        <w:tc>
          <w:tcPr>
            <w:tcW w:w="5320" w:type="dxa"/>
            <w:tcBorders>
              <w:top w:val="single" w:sz="4" w:space="0" w:color="auto"/>
            </w:tcBorders>
            <w:shd w:val="clear" w:color="auto" w:fill="auto"/>
            <w:vAlign w:val="bottom"/>
            <w:hideMark/>
          </w:tcPr>
          <w:p w14:paraId="36221A05"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GRUPO BRADESCO SEGUROS S.A</w:t>
            </w:r>
          </w:p>
        </w:tc>
        <w:tc>
          <w:tcPr>
            <w:tcW w:w="2467" w:type="dxa"/>
            <w:tcBorders>
              <w:top w:val="single" w:sz="4" w:space="0" w:color="auto"/>
            </w:tcBorders>
            <w:shd w:val="clear" w:color="auto" w:fill="auto"/>
            <w:noWrap/>
            <w:vAlign w:val="bottom"/>
            <w:hideMark/>
          </w:tcPr>
          <w:p w14:paraId="554D0B81"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R$    30.623.208.967 </w:t>
            </w:r>
          </w:p>
        </w:tc>
        <w:tc>
          <w:tcPr>
            <w:tcW w:w="1080" w:type="dxa"/>
            <w:tcBorders>
              <w:top w:val="single" w:sz="4" w:space="0" w:color="auto"/>
            </w:tcBorders>
            <w:shd w:val="clear" w:color="auto" w:fill="auto"/>
            <w:noWrap/>
            <w:vAlign w:val="bottom"/>
            <w:hideMark/>
          </w:tcPr>
          <w:p w14:paraId="07BF3DF7" w14:textId="77777777" w:rsidR="000A7DCE" w:rsidRPr="00141C43" w:rsidRDefault="000A7DCE" w:rsidP="00BF2F6C">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19,03%</w:t>
            </w:r>
          </w:p>
        </w:tc>
      </w:tr>
      <w:tr w:rsidR="000A7DCE" w:rsidRPr="00141C43" w14:paraId="11F02B59" w14:textId="77777777" w:rsidTr="00BF2F6C">
        <w:trPr>
          <w:trHeight w:val="315"/>
        </w:trPr>
        <w:tc>
          <w:tcPr>
            <w:tcW w:w="5320" w:type="dxa"/>
            <w:shd w:val="clear" w:color="auto" w:fill="auto"/>
            <w:vAlign w:val="bottom"/>
            <w:hideMark/>
          </w:tcPr>
          <w:p w14:paraId="26A9157A"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BRASILPREV SEGUROS E PREVIDÊNCIA S/A</w:t>
            </w:r>
          </w:p>
        </w:tc>
        <w:tc>
          <w:tcPr>
            <w:tcW w:w="2467" w:type="dxa"/>
            <w:shd w:val="clear" w:color="auto" w:fill="auto"/>
            <w:noWrap/>
            <w:vAlign w:val="bottom"/>
            <w:hideMark/>
          </w:tcPr>
          <w:p w14:paraId="3FA9BC1E"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R$    30.471.951.021 </w:t>
            </w:r>
          </w:p>
        </w:tc>
        <w:tc>
          <w:tcPr>
            <w:tcW w:w="1080" w:type="dxa"/>
            <w:shd w:val="clear" w:color="auto" w:fill="auto"/>
            <w:noWrap/>
            <w:vAlign w:val="bottom"/>
            <w:hideMark/>
          </w:tcPr>
          <w:p w14:paraId="6DA299B8" w14:textId="77777777" w:rsidR="000A7DCE" w:rsidRPr="00141C43" w:rsidRDefault="000A7DCE" w:rsidP="00BF2F6C">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18,94%</w:t>
            </w:r>
          </w:p>
        </w:tc>
      </w:tr>
      <w:tr w:rsidR="000A7DCE" w:rsidRPr="00141C43" w14:paraId="33F328EF" w14:textId="77777777" w:rsidTr="00BF2F6C">
        <w:trPr>
          <w:trHeight w:val="315"/>
        </w:trPr>
        <w:tc>
          <w:tcPr>
            <w:tcW w:w="5320" w:type="dxa"/>
            <w:shd w:val="clear" w:color="auto" w:fill="auto"/>
            <w:vAlign w:val="bottom"/>
            <w:hideMark/>
          </w:tcPr>
          <w:p w14:paraId="45BBA06A"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GRUPO ITAÚ SEGUROS</w:t>
            </w:r>
          </w:p>
        </w:tc>
        <w:tc>
          <w:tcPr>
            <w:tcW w:w="2467" w:type="dxa"/>
            <w:shd w:val="clear" w:color="auto" w:fill="auto"/>
            <w:noWrap/>
            <w:vAlign w:val="bottom"/>
            <w:hideMark/>
          </w:tcPr>
          <w:p w14:paraId="4A05ED5B"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R$    17.883.717.949 </w:t>
            </w:r>
          </w:p>
        </w:tc>
        <w:tc>
          <w:tcPr>
            <w:tcW w:w="1080" w:type="dxa"/>
            <w:shd w:val="clear" w:color="auto" w:fill="auto"/>
            <w:noWrap/>
            <w:vAlign w:val="bottom"/>
            <w:hideMark/>
          </w:tcPr>
          <w:p w14:paraId="606F96A5" w14:textId="77777777" w:rsidR="000A7DCE" w:rsidRPr="00141C43" w:rsidRDefault="000A7DCE" w:rsidP="00BF2F6C">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11,11%</w:t>
            </w:r>
          </w:p>
        </w:tc>
      </w:tr>
      <w:tr w:rsidR="000A7DCE" w:rsidRPr="00141C43" w14:paraId="33114000" w14:textId="77777777" w:rsidTr="00BF2F6C">
        <w:trPr>
          <w:trHeight w:val="315"/>
        </w:trPr>
        <w:tc>
          <w:tcPr>
            <w:tcW w:w="5320" w:type="dxa"/>
            <w:shd w:val="clear" w:color="auto" w:fill="auto"/>
            <w:vAlign w:val="bottom"/>
            <w:hideMark/>
          </w:tcPr>
          <w:p w14:paraId="12762F5F"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GRUPO BB MAPFRE</w:t>
            </w:r>
          </w:p>
        </w:tc>
        <w:tc>
          <w:tcPr>
            <w:tcW w:w="2467" w:type="dxa"/>
            <w:shd w:val="clear" w:color="auto" w:fill="auto"/>
            <w:noWrap/>
            <w:vAlign w:val="bottom"/>
            <w:hideMark/>
          </w:tcPr>
          <w:p w14:paraId="5B03FB1E"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R$    15.217.351.114 </w:t>
            </w:r>
          </w:p>
        </w:tc>
        <w:tc>
          <w:tcPr>
            <w:tcW w:w="1080" w:type="dxa"/>
            <w:shd w:val="clear" w:color="auto" w:fill="auto"/>
            <w:noWrap/>
            <w:vAlign w:val="bottom"/>
            <w:hideMark/>
          </w:tcPr>
          <w:p w14:paraId="42C5A329" w14:textId="77777777" w:rsidR="000A7DCE" w:rsidRPr="00141C43" w:rsidRDefault="000A7DCE" w:rsidP="00BF2F6C">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9,46%</w:t>
            </w:r>
          </w:p>
        </w:tc>
      </w:tr>
      <w:tr w:rsidR="000A7DCE" w:rsidRPr="00141C43" w14:paraId="7F9312BB" w14:textId="77777777" w:rsidTr="00BF2F6C">
        <w:trPr>
          <w:trHeight w:val="315"/>
        </w:trPr>
        <w:tc>
          <w:tcPr>
            <w:tcW w:w="5320" w:type="dxa"/>
            <w:tcBorders>
              <w:bottom w:val="single" w:sz="4" w:space="0" w:color="auto"/>
            </w:tcBorders>
            <w:shd w:val="clear" w:color="auto" w:fill="auto"/>
            <w:vAlign w:val="bottom"/>
            <w:hideMark/>
          </w:tcPr>
          <w:p w14:paraId="37D10D40"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GRUPO CAIXA SEGUROS</w:t>
            </w:r>
          </w:p>
        </w:tc>
        <w:tc>
          <w:tcPr>
            <w:tcW w:w="2467" w:type="dxa"/>
            <w:tcBorders>
              <w:bottom w:val="single" w:sz="4" w:space="0" w:color="auto"/>
            </w:tcBorders>
            <w:shd w:val="clear" w:color="auto" w:fill="auto"/>
            <w:noWrap/>
            <w:vAlign w:val="bottom"/>
            <w:hideMark/>
          </w:tcPr>
          <w:p w14:paraId="69F63480" w14:textId="77777777" w:rsidR="000A7DCE" w:rsidRPr="00141C43" w:rsidRDefault="000A7DCE" w:rsidP="00BF2F6C">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R$      8.513.862.544 </w:t>
            </w:r>
          </w:p>
        </w:tc>
        <w:tc>
          <w:tcPr>
            <w:tcW w:w="1080" w:type="dxa"/>
            <w:tcBorders>
              <w:bottom w:val="single" w:sz="4" w:space="0" w:color="auto"/>
            </w:tcBorders>
            <w:shd w:val="clear" w:color="auto" w:fill="auto"/>
            <w:noWrap/>
            <w:vAlign w:val="bottom"/>
            <w:hideMark/>
          </w:tcPr>
          <w:p w14:paraId="2549140E" w14:textId="77777777" w:rsidR="000A7DCE" w:rsidRPr="00141C43" w:rsidRDefault="000A7DCE" w:rsidP="00BF2F6C">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5,29%</w:t>
            </w:r>
          </w:p>
        </w:tc>
      </w:tr>
      <w:tr w:rsidR="000A7DCE" w:rsidRPr="00141C43" w14:paraId="7B8D93D9" w14:textId="77777777" w:rsidTr="00BF2F6C">
        <w:trPr>
          <w:trHeight w:val="315"/>
        </w:trPr>
        <w:tc>
          <w:tcPr>
            <w:tcW w:w="5320" w:type="dxa"/>
            <w:tcBorders>
              <w:top w:val="single" w:sz="4" w:space="0" w:color="auto"/>
              <w:bottom w:val="single" w:sz="4" w:space="0" w:color="auto"/>
            </w:tcBorders>
            <w:shd w:val="clear" w:color="auto" w:fill="auto"/>
            <w:vAlign w:val="bottom"/>
            <w:hideMark/>
          </w:tcPr>
          <w:p w14:paraId="4842923C" w14:textId="77777777" w:rsidR="000A7DCE" w:rsidRPr="00141C43" w:rsidRDefault="000A7DCE" w:rsidP="00BF2F6C">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 ESTUDADO</w:t>
            </w:r>
          </w:p>
        </w:tc>
        <w:tc>
          <w:tcPr>
            <w:tcW w:w="2467" w:type="dxa"/>
            <w:tcBorders>
              <w:top w:val="single" w:sz="4" w:space="0" w:color="auto"/>
              <w:bottom w:val="single" w:sz="4" w:space="0" w:color="auto"/>
            </w:tcBorders>
            <w:shd w:val="clear" w:color="auto" w:fill="auto"/>
            <w:noWrap/>
            <w:vAlign w:val="bottom"/>
            <w:hideMark/>
          </w:tcPr>
          <w:p w14:paraId="3CF0DCD7" w14:textId="77777777" w:rsidR="000A7DCE" w:rsidRPr="00141C43" w:rsidRDefault="000A7DCE" w:rsidP="00BF2F6C">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R$ 102.710.091.595 </w:t>
            </w:r>
          </w:p>
        </w:tc>
        <w:tc>
          <w:tcPr>
            <w:tcW w:w="1080" w:type="dxa"/>
            <w:tcBorders>
              <w:top w:val="single" w:sz="4" w:space="0" w:color="auto"/>
              <w:bottom w:val="single" w:sz="4" w:space="0" w:color="auto"/>
            </w:tcBorders>
            <w:shd w:val="clear" w:color="auto" w:fill="auto"/>
            <w:noWrap/>
            <w:vAlign w:val="bottom"/>
            <w:hideMark/>
          </w:tcPr>
          <w:p w14:paraId="7F550429" w14:textId="77777777" w:rsidR="000A7DCE" w:rsidRPr="00141C43" w:rsidRDefault="000A7DCE" w:rsidP="00BF2F6C">
            <w:pPr>
              <w:spacing w:after="0" w:line="240" w:lineRule="auto"/>
              <w:jc w:val="right"/>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63,83%</w:t>
            </w:r>
          </w:p>
        </w:tc>
      </w:tr>
      <w:tr w:rsidR="000A7DCE" w:rsidRPr="00141C43" w14:paraId="20BF3CEA" w14:textId="77777777" w:rsidTr="00BF2F6C">
        <w:trPr>
          <w:trHeight w:val="330"/>
        </w:trPr>
        <w:tc>
          <w:tcPr>
            <w:tcW w:w="5320" w:type="dxa"/>
            <w:tcBorders>
              <w:top w:val="single" w:sz="4" w:space="0" w:color="auto"/>
              <w:bottom w:val="single" w:sz="4" w:space="0" w:color="auto"/>
            </w:tcBorders>
            <w:shd w:val="clear" w:color="auto" w:fill="auto"/>
            <w:vAlign w:val="bottom"/>
            <w:hideMark/>
          </w:tcPr>
          <w:p w14:paraId="016DEEE3" w14:textId="77777777" w:rsidR="000A7DCE" w:rsidRPr="00141C43" w:rsidRDefault="000A7DCE" w:rsidP="00BF2F6C">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 DE MERCADO</w:t>
            </w:r>
          </w:p>
        </w:tc>
        <w:tc>
          <w:tcPr>
            <w:tcW w:w="2467" w:type="dxa"/>
            <w:tcBorders>
              <w:top w:val="single" w:sz="4" w:space="0" w:color="auto"/>
              <w:bottom w:val="single" w:sz="4" w:space="0" w:color="auto"/>
            </w:tcBorders>
            <w:shd w:val="clear" w:color="auto" w:fill="auto"/>
            <w:noWrap/>
            <w:vAlign w:val="bottom"/>
            <w:hideMark/>
          </w:tcPr>
          <w:p w14:paraId="71722219" w14:textId="77777777" w:rsidR="000A7DCE" w:rsidRPr="00141C43" w:rsidRDefault="000A7DCE" w:rsidP="00BF2F6C">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R$ 160.921.536.569 </w:t>
            </w:r>
          </w:p>
        </w:tc>
        <w:tc>
          <w:tcPr>
            <w:tcW w:w="1080" w:type="dxa"/>
            <w:tcBorders>
              <w:top w:val="single" w:sz="4" w:space="0" w:color="auto"/>
              <w:bottom w:val="single" w:sz="4" w:space="0" w:color="auto"/>
            </w:tcBorders>
            <w:shd w:val="clear" w:color="auto" w:fill="auto"/>
            <w:noWrap/>
            <w:vAlign w:val="bottom"/>
            <w:hideMark/>
          </w:tcPr>
          <w:p w14:paraId="42931CA8" w14:textId="77777777" w:rsidR="000A7DCE" w:rsidRPr="00141C43" w:rsidRDefault="000A7DCE" w:rsidP="00BF2F6C">
            <w:pPr>
              <w:spacing w:after="0" w:line="240" w:lineRule="auto"/>
              <w:jc w:val="right"/>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100%</w:t>
            </w:r>
          </w:p>
        </w:tc>
      </w:tr>
    </w:tbl>
    <w:p w14:paraId="6390955A" w14:textId="77777777" w:rsidR="000A7DCE" w:rsidRPr="00141C43" w:rsidRDefault="000A7DCE" w:rsidP="000A7DCE">
      <w:pPr>
        <w:spacing w:after="240" w:line="240" w:lineRule="auto"/>
        <w:jc w:val="both"/>
        <w:rPr>
          <w:rFonts w:ascii="Times New Roman" w:hAnsi="Times New Roman" w:cs="Times New Roman"/>
          <w:sz w:val="20"/>
          <w:szCs w:val="20"/>
        </w:rPr>
      </w:pPr>
      <w:r w:rsidRPr="00141C43">
        <w:rPr>
          <w:rFonts w:ascii="Times New Roman" w:hAnsi="Times New Roman" w:cs="Times New Roman"/>
          <w:sz w:val="20"/>
          <w:szCs w:val="20"/>
        </w:rPr>
        <w:t xml:space="preserve">Fonte: Recuperado de “Ranking das seguradoras – Jan a </w:t>
      </w:r>
      <w:proofErr w:type="spellStart"/>
      <w:r w:rsidRPr="00141C43">
        <w:rPr>
          <w:rFonts w:ascii="Times New Roman" w:hAnsi="Times New Roman" w:cs="Times New Roman"/>
          <w:sz w:val="20"/>
          <w:szCs w:val="20"/>
        </w:rPr>
        <w:t>Nov</w:t>
      </w:r>
      <w:proofErr w:type="spellEnd"/>
      <w:r w:rsidRPr="00141C43">
        <w:rPr>
          <w:rFonts w:ascii="Times New Roman" w:hAnsi="Times New Roman" w:cs="Times New Roman"/>
          <w:sz w:val="20"/>
          <w:szCs w:val="20"/>
        </w:rPr>
        <w:t xml:space="preserve"> 2015” Castiglione, L. (2016), Sindicado das Empresas Seguradoras, </w:t>
      </w:r>
      <w:proofErr w:type="spellStart"/>
      <w:r w:rsidRPr="00141C43">
        <w:rPr>
          <w:rFonts w:ascii="Times New Roman" w:hAnsi="Times New Roman" w:cs="Times New Roman"/>
          <w:sz w:val="20"/>
          <w:szCs w:val="20"/>
        </w:rPr>
        <w:t>Resseguradoras</w:t>
      </w:r>
      <w:proofErr w:type="spellEnd"/>
      <w:r w:rsidRPr="00141C43">
        <w:rPr>
          <w:rFonts w:ascii="Times New Roman" w:hAnsi="Times New Roman" w:cs="Times New Roman"/>
          <w:sz w:val="20"/>
          <w:szCs w:val="20"/>
        </w:rPr>
        <w:t xml:space="preserve"> e Capitalização – </w:t>
      </w:r>
      <w:proofErr w:type="spellStart"/>
      <w:r w:rsidRPr="00141C43">
        <w:rPr>
          <w:rFonts w:ascii="Times New Roman" w:hAnsi="Times New Roman" w:cs="Times New Roman"/>
          <w:sz w:val="20"/>
          <w:szCs w:val="20"/>
        </w:rPr>
        <w:t>Sindsegsp</w:t>
      </w:r>
      <w:proofErr w:type="spellEnd"/>
      <w:r w:rsidRPr="00141C43">
        <w:rPr>
          <w:rFonts w:ascii="Times New Roman" w:hAnsi="Times New Roman" w:cs="Times New Roman"/>
          <w:sz w:val="20"/>
          <w:szCs w:val="20"/>
        </w:rPr>
        <w:t>.</w:t>
      </w:r>
    </w:p>
    <w:p w14:paraId="71397A95" w14:textId="193456D7" w:rsidR="008339EF" w:rsidRPr="00141C43" w:rsidRDefault="00F02F3F" w:rsidP="002D40B8">
      <w:pPr>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Devido o</w:t>
      </w:r>
      <w:r w:rsidR="00A152E2" w:rsidRPr="00141C43">
        <w:rPr>
          <w:rFonts w:ascii="Times New Roman" w:hAnsi="Times New Roman" w:cs="Times New Roman"/>
          <w:sz w:val="24"/>
          <w:szCs w:val="24"/>
        </w:rPr>
        <w:t xml:space="preserve"> objetivo desta pesquisa </w:t>
      </w:r>
      <w:r>
        <w:rPr>
          <w:rFonts w:ascii="Times New Roman" w:hAnsi="Times New Roman" w:cs="Times New Roman"/>
          <w:sz w:val="24"/>
          <w:szCs w:val="24"/>
        </w:rPr>
        <w:t xml:space="preserve">projetaram-se </w:t>
      </w:r>
      <w:r w:rsidR="006B7163" w:rsidRPr="00141C43">
        <w:rPr>
          <w:rFonts w:ascii="Times New Roman" w:hAnsi="Times New Roman" w:cs="Times New Roman"/>
          <w:sz w:val="24"/>
          <w:szCs w:val="24"/>
        </w:rPr>
        <w:t>as reclassificações</w:t>
      </w:r>
      <w:r>
        <w:rPr>
          <w:rFonts w:ascii="Times New Roman" w:hAnsi="Times New Roman" w:cs="Times New Roman"/>
          <w:sz w:val="24"/>
          <w:szCs w:val="24"/>
        </w:rPr>
        <w:t xml:space="preserve"> dos instrumento</w:t>
      </w:r>
      <w:r w:rsidR="004812ED">
        <w:rPr>
          <w:rFonts w:ascii="Times New Roman" w:hAnsi="Times New Roman" w:cs="Times New Roman"/>
          <w:sz w:val="24"/>
          <w:szCs w:val="24"/>
        </w:rPr>
        <w:t>s</w:t>
      </w:r>
      <w:r>
        <w:rPr>
          <w:rFonts w:ascii="Times New Roman" w:hAnsi="Times New Roman" w:cs="Times New Roman"/>
          <w:sz w:val="24"/>
          <w:szCs w:val="24"/>
        </w:rPr>
        <w:t xml:space="preserve"> financeiros</w:t>
      </w:r>
      <w:r w:rsidR="002D40B8" w:rsidRPr="00141C43">
        <w:rPr>
          <w:rFonts w:ascii="Times New Roman" w:hAnsi="Times New Roman" w:cs="Times New Roman"/>
          <w:sz w:val="24"/>
          <w:szCs w:val="24"/>
        </w:rPr>
        <w:t xml:space="preserve"> e </w:t>
      </w:r>
      <w:r>
        <w:rPr>
          <w:rFonts w:ascii="Times New Roman" w:hAnsi="Times New Roman" w:cs="Times New Roman"/>
          <w:sz w:val="24"/>
          <w:szCs w:val="24"/>
        </w:rPr>
        <w:t>analisou-se</w:t>
      </w:r>
      <w:r w:rsidR="002D40B8" w:rsidRPr="00141C43">
        <w:rPr>
          <w:rFonts w:ascii="Times New Roman" w:hAnsi="Times New Roman" w:cs="Times New Roman"/>
          <w:sz w:val="24"/>
          <w:szCs w:val="24"/>
        </w:rPr>
        <w:t xml:space="preserve"> em determinada população</w:t>
      </w:r>
      <w:r w:rsidR="00A152E2" w:rsidRPr="00141C43">
        <w:rPr>
          <w:rFonts w:ascii="Times New Roman" w:hAnsi="Times New Roman" w:cs="Times New Roman"/>
          <w:sz w:val="24"/>
          <w:szCs w:val="24"/>
        </w:rPr>
        <w:t>,</w:t>
      </w:r>
      <w:r w:rsidR="002B6135" w:rsidRPr="00141C43">
        <w:rPr>
          <w:rFonts w:ascii="Times New Roman" w:hAnsi="Times New Roman" w:cs="Times New Roman"/>
          <w:sz w:val="24"/>
          <w:szCs w:val="24"/>
        </w:rPr>
        <w:t xml:space="preserve"> sem manipulá-las ou estabelecer relações entre</w:t>
      </w:r>
      <w:r w:rsidR="002D40B8" w:rsidRPr="00141C43">
        <w:rPr>
          <w:rFonts w:ascii="Times New Roman" w:hAnsi="Times New Roman" w:cs="Times New Roman"/>
          <w:sz w:val="24"/>
          <w:szCs w:val="24"/>
        </w:rPr>
        <w:t xml:space="preserve"> as variáveis</w:t>
      </w:r>
      <w:r>
        <w:rPr>
          <w:rFonts w:ascii="Times New Roman" w:hAnsi="Times New Roman" w:cs="Times New Roman"/>
          <w:sz w:val="24"/>
          <w:szCs w:val="24"/>
        </w:rPr>
        <w:t xml:space="preserve"> e a</w:t>
      </w:r>
      <w:r w:rsidR="00A152E2" w:rsidRPr="00141C43">
        <w:rPr>
          <w:rFonts w:ascii="Times New Roman" w:hAnsi="Times New Roman" w:cs="Times New Roman"/>
          <w:sz w:val="24"/>
          <w:szCs w:val="24"/>
        </w:rPr>
        <w:t xml:space="preserve"> pesquisa de base foi </w:t>
      </w:r>
      <w:r w:rsidR="004E5079" w:rsidRPr="00141C43">
        <w:rPr>
          <w:rFonts w:ascii="Times New Roman" w:hAnsi="Times New Roman" w:cs="Times New Roman"/>
          <w:sz w:val="24"/>
          <w:szCs w:val="24"/>
        </w:rPr>
        <w:t>descritiva</w:t>
      </w:r>
      <w:r>
        <w:rPr>
          <w:rFonts w:ascii="Times New Roman" w:hAnsi="Times New Roman" w:cs="Times New Roman"/>
          <w:sz w:val="24"/>
          <w:szCs w:val="24"/>
        </w:rPr>
        <w:t>.</w:t>
      </w:r>
    </w:p>
    <w:p w14:paraId="2B5F3EC7" w14:textId="0C388CED" w:rsidR="00581101" w:rsidRPr="00141C43" w:rsidRDefault="00581101" w:rsidP="002D40B8">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O processo </w:t>
      </w:r>
      <w:r w:rsidR="00A152E2" w:rsidRPr="00141C43">
        <w:rPr>
          <w:rFonts w:ascii="Times New Roman" w:hAnsi="Times New Roman" w:cs="Times New Roman"/>
          <w:sz w:val="24"/>
          <w:szCs w:val="24"/>
        </w:rPr>
        <w:t>foi</w:t>
      </w:r>
      <w:r w:rsidRPr="00141C43">
        <w:rPr>
          <w:rFonts w:ascii="Times New Roman" w:hAnsi="Times New Roman" w:cs="Times New Roman"/>
          <w:sz w:val="24"/>
          <w:szCs w:val="24"/>
        </w:rPr>
        <w:t xml:space="preserve"> uma pesquisa quantitativa, ligada à quantificação de dados obtidos </w:t>
      </w:r>
      <w:r w:rsidR="00445446" w:rsidRPr="00141C43">
        <w:rPr>
          <w:rFonts w:ascii="Times New Roman" w:hAnsi="Times New Roman" w:cs="Times New Roman"/>
          <w:sz w:val="24"/>
          <w:szCs w:val="24"/>
        </w:rPr>
        <w:t>nas publicações de balanço apresentado pelas</w:t>
      </w:r>
      <w:r w:rsidR="00F02F3F">
        <w:rPr>
          <w:rFonts w:ascii="Times New Roman" w:hAnsi="Times New Roman" w:cs="Times New Roman"/>
          <w:sz w:val="24"/>
          <w:szCs w:val="24"/>
        </w:rPr>
        <w:t xml:space="preserve"> cinco maiores</w:t>
      </w:r>
      <w:r w:rsidR="00445446" w:rsidRPr="00141C43">
        <w:rPr>
          <w:rFonts w:ascii="Times New Roman" w:hAnsi="Times New Roman" w:cs="Times New Roman"/>
          <w:sz w:val="24"/>
          <w:szCs w:val="24"/>
        </w:rPr>
        <w:t xml:space="preserve"> seguradoras. Para esse tipo de pesquisa</w:t>
      </w:r>
      <w:r w:rsidR="00A152E2" w:rsidRPr="00141C43">
        <w:rPr>
          <w:rFonts w:ascii="Times New Roman" w:hAnsi="Times New Roman" w:cs="Times New Roman"/>
          <w:sz w:val="24"/>
          <w:szCs w:val="24"/>
        </w:rPr>
        <w:t>, foi n</w:t>
      </w:r>
      <w:r w:rsidR="00445446" w:rsidRPr="00141C43">
        <w:rPr>
          <w:rFonts w:ascii="Times New Roman" w:hAnsi="Times New Roman" w:cs="Times New Roman"/>
          <w:sz w:val="24"/>
          <w:szCs w:val="24"/>
        </w:rPr>
        <w:t>ecessári</w:t>
      </w:r>
      <w:r w:rsidR="00A152E2" w:rsidRPr="00141C43">
        <w:rPr>
          <w:rFonts w:ascii="Times New Roman" w:hAnsi="Times New Roman" w:cs="Times New Roman"/>
          <w:sz w:val="24"/>
          <w:szCs w:val="24"/>
        </w:rPr>
        <w:t>a</w:t>
      </w:r>
      <w:r w:rsidR="00445446" w:rsidRPr="00141C43">
        <w:rPr>
          <w:rFonts w:ascii="Times New Roman" w:hAnsi="Times New Roman" w:cs="Times New Roman"/>
          <w:sz w:val="24"/>
          <w:szCs w:val="24"/>
        </w:rPr>
        <w:t xml:space="preserve"> a projeção por técnica estatística de porcentagem, média e proporção, para </w:t>
      </w:r>
      <w:r w:rsidR="00A152E2" w:rsidRPr="00141C43">
        <w:rPr>
          <w:rFonts w:ascii="Times New Roman" w:hAnsi="Times New Roman" w:cs="Times New Roman"/>
          <w:sz w:val="24"/>
          <w:szCs w:val="24"/>
        </w:rPr>
        <w:t>trazer a</w:t>
      </w:r>
      <w:r w:rsidR="00445446" w:rsidRPr="00141C43">
        <w:rPr>
          <w:rFonts w:ascii="Times New Roman" w:hAnsi="Times New Roman" w:cs="Times New Roman"/>
          <w:sz w:val="24"/>
          <w:szCs w:val="24"/>
        </w:rPr>
        <w:t xml:space="preserve"> análise da relação entre as variáveis e determinar relações de casualidade entre fenômenos.</w:t>
      </w:r>
    </w:p>
    <w:p w14:paraId="55860148" w14:textId="3D88EF8B" w:rsidR="003B15E2" w:rsidRPr="00141C43" w:rsidRDefault="00890906" w:rsidP="002D40B8">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 xml:space="preserve">Todos esses tipos de </w:t>
      </w:r>
      <w:r w:rsidR="00537C05" w:rsidRPr="00141C43">
        <w:rPr>
          <w:rFonts w:ascii="Times New Roman" w:hAnsi="Times New Roman" w:cs="Times New Roman"/>
          <w:sz w:val="24"/>
          <w:szCs w:val="24"/>
        </w:rPr>
        <w:t>seguradoras</w:t>
      </w:r>
      <w:r w:rsidRPr="00141C43">
        <w:rPr>
          <w:rFonts w:ascii="Times New Roman" w:hAnsi="Times New Roman" w:cs="Times New Roman"/>
          <w:sz w:val="24"/>
          <w:szCs w:val="24"/>
        </w:rPr>
        <w:t xml:space="preserve"> </w:t>
      </w:r>
      <w:r w:rsidR="00A152E2" w:rsidRPr="00141C43">
        <w:rPr>
          <w:rFonts w:ascii="Times New Roman" w:hAnsi="Times New Roman" w:cs="Times New Roman"/>
          <w:sz w:val="24"/>
          <w:szCs w:val="24"/>
        </w:rPr>
        <w:t>precisam</w:t>
      </w:r>
      <w:r w:rsidRPr="00141C43">
        <w:rPr>
          <w:rFonts w:ascii="Times New Roman" w:hAnsi="Times New Roman" w:cs="Times New Roman"/>
          <w:sz w:val="24"/>
          <w:szCs w:val="24"/>
        </w:rPr>
        <w:t xml:space="preserve"> de instrumentos financeiros para </w:t>
      </w:r>
      <w:r w:rsidR="00A152E2" w:rsidRPr="00141C43">
        <w:rPr>
          <w:rFonts w:ascii="Times New Roman" w:hAnsi="Times New Roman" w:cs="Times New Roman"/>
          <w:sz w:val="24"/>
          <w:szCs w:val="24"/>
        </w:rPr>
        <w:t>cobrir</w:t>
      </w:r>
      <w:r w:rsidRPr="00141C43">
        <w:rPr>
          <w:rFonts w:ascii="Times New Roman" w:hAnsi="Times New Roman" w:cs="Times New Roman"/>
          <w:sz w:val="24"/>
          <w:szCs w:val="24"/>
        </w:rPr>
        <w:t xml:space="preserve"> seu passivo</w:t>
      </w:r>
      <w:r w:rsidR="00A152E2" w:rsidRPr="00141C43">
        <w:rPr>
          <w:rFonts w:ascii="Times New Roman" w:hAnsi="Times New Roman" w:cs="Times New Roman"/>
          <w:sz w:val="24"/>
          <w:szCs w:val="24"/>
        </w:rPr>
        <w:t>. E segundo</w:t>
      </w:r>
      <w:r w:rsidRPr="00141C43">
        <w:rPr>
          <w:rFonts w:ascii="Times New Roman" w:hAnsi="Times New Roman" w:cs="Times New Roman"/>
          <w:sz w:val="24"/>
          <w:szCs w:val="24"/>
        </w:rPr>
        <w:t xml:space="preserve"> normas de instrumentos financeiros</w:t>
      </w:r>
      <w:r w:rsidR="00A152E2" w:rsidRPr="00141C43">
        <w:rPr>
          <w:rFonts w:ascii="Times New Roman" w:hAnsi="Times New Roman" w:cs="Times New Roman"/>
          <w:sz w:val="24"/>
          <w:szCs w:val="24"/>
        </w:rPr>
        <w:t>,</w:t>
      </w:r>
      <w:r w:rsidRPr="00141C43">
        <w:rPr>
          <w:rFonts w:ascii="Times New Roman" w:hAnsi="Times New Roman" w:cs="Times New Roman"/>
          <w:sz w:val="24"/>
          <w:szCs w:val="24"/>
        </w:rPr>
        <w:t xml:space="preserve"> elas precisam definir o critério e </w:t>
      </w:r>
      <w:r w:rsidR="00A152E2" w:rsidRPr="00141C43">
        <w:rPr>
          <w:rFonts w:ascii="Times New Roman" w:hAnsi="Times New Roman" w:cs="Times New Roman"/>
          <w:sz w:val="24"/>
          <w:szCs w:val="24"/>
        </w:rPr>
        <w:t>a</w:t>
      </w:r>
      <w:r w:rsidRPr="00141C43">
        <w:rPr>
          <w:rFonts w:ascii="Times New Roman" w:hAnsi="Times New Roman" w:cs="Times New Roman"/>
          <w:sz w:val="24"/>
          <w:szCs w:val="24"/>
        </w:rPr>
        <w:t xml:space="preserve"> classificação </w:t>
      </w:r>
      <w:r w:rsidR="00A152E2" w:rsidRPr="00141C43">
        <w:rPr>
          <w:rFonts w:ascii="Times New Roman" w:hAnsi="Times New Roman" w:cs="Times New Roman"/>
          <w:sz w:val="24"/>
          <w:szCs w:val="24"/>
        </w:rPr>
        <w:t>a ser adotados</w:t>
      </w:r>
      <w:r w:rsidRPr="00141C43">
        <w:rPr>
          <w:rFonts w:ascii="Times New Roman" w:hAnsi="Times New Roman" w:cs="Times New Roman"/>
          <w:sz w:val="24"/>
          <w:szCs w:val="24"/>
        </w:rPr>
        <w:t xml:space="preserve"> para o título de valor mobiliário comprado para sua carteira.</w:t>
      </w:r>
      <w:r w:rsidR="003B15E2" w:rsidRPr="00141C43">
        <w:rPr>
          <w:rFonts w:ascii="Times New Roman" w:hAnsi="Times New Roman" w:cs="Times New Roman"/>
          <w:sz w:val="24"/>
          <w:szCs w:val="24"/>
        </w:rPr>
        <w:t xml:space="preserve"> </w:t>
      </w:r>
      <w:r w:rsidR="007927D7" w:rsidRPr="00141C43">
        <w:rPr>
          <w:rFonts w:ascii="Times New Roman" w:hAnsi="Times New Roman" w:cs="Times New Roman"/>
          <w:sz w:val="24"/>
          <w:szCs w:val="24"/>
        </w:rPr>
        <w:t>Com vistas à</w:t>
      </w:r>
      <w:r w:rsidR="00A152E2" w:rsidRPr="00141C43">
        <w:rPr>
          <w:rFonts w:ascii="Times New Roman" w:hAnsi="Times New Roman" w:cs="Times New Roman"/>
          <w:sz w:val="24"/>
          <w:szCs w:val="24"/>
        </w:rPr>
        <w:t xml:space="preserve"> extração do</w:t>
      </w:r>
      <w:r w:rsidR="003B15E2" w:rsidRPr="00141C43">
        <w:rPr>
          <w:rFonts w:ascii="Times New Roman" w:hAnsi="Times New Roman" w:cs="Times New Roman"/>
          <w:sz w:val="24"/>
          <w:szCs w:val="24"/>
        </w:rPr>
        <w:t xml:space="preserve">s critérios de classificação e </w:t>
      </w:r>
      <w:r w:rsidR="007927D7" w:rsidRPr="00141C43">
        <w:rPr>
          <w:rFonts w:ascii="Times New Roman" w:hAnsi="Times New Roman" w:cs="Times New Roman"/>
          <w:sz w:val="24"/>
          <w:szCs w:val="24"/>
        </w:rPr>
        <w:t>a</w:t>
      </w:r>
      <w:r w:rsidR="00A152E2" w:rsidRPr="00141C43">
        <w:rPr>
          <w:rFonts w:ascii="Times New Roman" w:hAnsi="Times New Roman" w:cs="Times New Roman"/>
          <w:sz w:val="24"/>
          <w:szCs w:val="24"/>
        </w:rPr>
        <w:t>o encontro d</w:t>
      </w:r>
      <w:r w:rsidR="003B15E2" w:rsidRPr="00141C43">
        <w:rPr>
          <w:rFonts w:ascii="Times New Roman" w:hAnsi="Times New Roman" w:cs="Times New Roman"/>
          <w:sz w:val="24"/>
          <w:szCs w:val="24"/>
        </w:rPr>
        <w:t>os valores mobiliários em carteira</w:t>
      </w:r>
      <w:r w:rsidR="00A152E2" w:rsidRPr="00141C43">
        <w:rPr>
          <w:rFonts w:ascii="Times New Roman" w:hAnsi="Times New Roman" w:cs="Times New Roman"/>
          <w:sz w:val="24"/>
          <w:szCs w:val="24"/>
        </w:rPr>
        <w:t>, foram analisadas</w:t>
      </w:r>
      <w:r w:rsidR="003B15E2" w:rsidRPr="00141C43">
        <w:rPr>
          <w:rFonts w:ascii="Times New Roman" w:hAnsi="Times New Roman" w:cs="Times New Roman"/>
          <w:sz w:val="24"/>
          <w:szCs w:val="24"/>
        </w:rPr>
        <w:t xml:space="preserve"> as notas explicati</w:t>
      </w:r>
      <w:r w:rsidR="0075304E" w:rsidRPr="00141C43">
        <w:rPr>
          <w:rFonts w:ascii="Times New Roman" w:hAnsi="Times New Roman" w:cs="Times New Roman"/>
          <w:sz w:val="24"/>
          <w:szCs w:val="24"/>
        </w:rPr>
        <w:t>vas de instrumentos financeiros.</w:t>
      </w:r>
    </w:p>
    <w:p w14:paraId="180B7973" w14:textId="75247CB9" w:rsidR="00567741" w:rsidRPr="00141C43" w:rsidRDefault="007927D7" w:rsidP="00F2253B">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De</w:t>
      </w:r>
      <w:r w:rsidR="007B215E" w:rsidRPr="00141C43">
        <w:rPr>
          <w:rFonts w:ascii="Times New Roman" w:hAnsi="Times New Roman" w:cs="Times New Roman"/>
          <w:sz w:val="24"/>
          <w:szCs w:val="24"/>
        </w:rPr>
        <w:t xml:space="preserve">ntre todas as seguradoras relacionadas pelo ranking divulgado pelo </w:t>
      </w:r>
      <w:proofErr w:type="spellStart"/>
      <w:r w:rsidR="007B215E" w:rsidRPr="00141C43">
        <w:rPr>
          <w:rFonts w:ascii="Times New Roman" w:hAnsi="Times New Roman" w:cs="Times New Roman"/>
          <w:sz w:val="24"/>
          <w:szCs w:val="24"/>
        </w:rPr>
        <w:t>Sindsegsp</w:t>
      </w:r>
      <w:proofErr w:type="spellEnd"/>
      <w:r w:rsidR="007B215E" w:rsidRPr="00141C43">
        <w:rPr>
          <w:rFonts w:ascii="Times New Roman" w:hAnsi="Times New Roman" w:cs="Times New Roman"/>
          <w:sz w:val="24"/>
          <w:szCs w:val="24"/>
        </w:rPr>
        <w:t xml:space="preserve"> </w:t>
      </w:r>
      <w:r w:rsidR="00667B21" w:rsidRPr="00141C43">
        <w:rPr>
          <w:rFonts w:ascii="Times New Roman" w:hAnsi="Times New Roman" w:cs="Times New Roman"/>
          <w:sz w:val="24"/>
          <w:szCs w:val="24"/>
        </w:rPr>
        <w:t>(2016</w:t>
      </w:r>
      <w:r w:rsidR="007B215E" w:rsidRPr="00141C43">
        <w:rPr>
          <w:rFonts w:ascii="Times New Roman" w:hAnsi="Times New Roman" w:cs="Times New Roman"/>
          <w:sz w:val="24"/>
          <w:szCs w:val="24"/>
        </w:rPr>
        <w:t>)</w:t>
      </w:r>
      <w:r w:rsidRPr="00141C43">
        <w:rPr>
          <w:rFonts w:ascii="Times New Roman" w:hAnsi="Times New Roman" w:cs="Times New Roman"/>
          <w:sz w:val="24"/>
          <w:szCs w:val="24"/>
        </w:rPr>
        <w:t>,</w:t>
      </w:r>
      <w:r w:rsidR="00667B21" w:rsidRPr="00141C43">
        <w:rPr>
          <w:rFonts w:ascii="Times New Roman" w:hAnsi="Times New Roman" w:cs="Times New Roman"/>
          <w:sz w:val="24"/>
          <w:szCs w:val="24"/>
        </w:rPr>
        <w:t xml:space="preserve"> foram estuda</w:t>
      </w:r>
      <w:r w:rsidR="0004202E" w:rsidRPr="00141C43">
        <w:rPr>
          <w:rFonts w:ascii="Times New Roman" w:hAnsi="Times New Roman" w:cs="Times New Roman"/>
          <w:sz w:val="24"/>
          <w:szCs w:val="24"/>
        </w:rPr>
        <w:t>da</w:t>
      </w:r>
      <w:r w:rsidR="00667B21" w:rsidRPr="00141C43">
        <w:rPr>
          <w:rFonts w:ascii="Times New Roman" w:hAnsi="Times New Roman" w:cs="Times New Roman"/>
          <w:sz w:val="24"/>
          <w:szCs w:val="24"/>
        </w:rPr>
        <w:t xml:space="preserve">s as </w:t>
      </w:r>
      <w:r w:rsidRPr="00141C43">
        <w:rPr>
          <w:rFonts w:ascii="Times New Roman" w:hAnsi="Times New Roman" w:cs="Times New Roman"/>
          <w:sz w:val="24"/>
          <w:szCs w:val="24"/>
        </w:rPr>
        <w:t>cinco</w:t>
      </w:r>
      <w:r w:rsidR="00667B21" w:rsidRPr="00141C43">
        <w:rPr>
          <w:rFonts w:ascii="Times New Roman" w:hAnsi="Times New Roman" w:cs="Times New Roman"/>
          <w:sz w:val="24"/>
          <w:szCs w:val="24"/>
        </w:rPr>
        <w:t xml:space="preserve"> maiores</w:t>
      </w:r>
      <w:r w:rsidRPr="00141C43">
        <w:rPr>
          <w:rFonts w:ascii="Times New Roman" w:hAnsi="Times New Roman" w:cs="Times New Roman"/>
          <w:sz w:val="24"/>
          <w:szCs w:val="24"/>
        </w:rPr>
        <w:t xml:space="preserve">, </w:t>
      </w:r>
      <w:r w:rsidR="00667B21" w:rsidRPr="00141C43">
        <w:rPr>
          <w:rFonts w:ascii="Times New Roman" w:hAnsi="Times New Roman" w:cs="Times New Roman"/>
          <w:sz w:val="24"/>
          <w:szCs w:val="24"/>
        </w:rPr>
        <w:t xml:space="preserve">que possuíam todos os critérios de classificação contábil </w:t>
      </w:r>
      <w:r w:rsidRPr="00141C43">
        <w:rPr>
          <w:rFonts w:ascii="Times New Roman" w:hAnsi="Times New Roman" w:cs="Times New Roman"/>
          <w:sz w:val="24"/>
          <w:szCs w:val="24"/>
        </w:rPr>
        <w:t>em</w:t>
      </w:r>
      <w:r w:rsidR="003C0E26" w:rsidRPr="00141C43">
        <w:rPr>
          <w:rFonts w:ascii="Times New Roman" w:hAnsi="Times New Roman" w:cs="Times New Roman"/>
          <w:sz w:val="24"/>
          <w:szCs w:val="24"/>
        </w:rPr>
        <w:t xml:space="preserve"> suas notas explicativas</w:t>
      </w:r>
      <w:r w:rsidR="00CF0965" w:rsidRPr="00141C43">
        <w:rPr>
          <w:rFonts w:ascii="Times New Roman" w:hAnsi="Times New Roman" w:cs="Times New Roman"/>
          <w:sz w:val="24"/>
          <w:szCs w:val="24"/>
        </w:rPr>
        <w:t>,</w:t>
      </w:r>
      <w:r w:rsidR="003C0E26" w:rsidRPr="00141C43">
        <w:rPr>
          <w:rFonts w:ascii="Times New Roman" w:hAnsi="Times New Roman" w:cs="Times New Roman"/>
          <w:sz w:val="24"/>
          <w:szCs w:val="24"/>
        </w:rPr>
        <w:t xml:space="preserve"> publicadas em suas demonstrações contábeis </w:t>
      </w:r>
      <w:r w:rsidR="0004202E" w:rsidRPr="00141C43">
        <w:rPr>
          <w:rFonts w:ascii="Times New Roman" w:hAnsi="Times New Roman" w:cs="Times New Roman"/>
          <w:sz w:val="24"/>
          <w:szCs w:val="24"/>
        </w:rPr>
        <w:t>n</w:t>
      </w:r>
      <w:r w:rsidR="003C0E26" w:rsidRPr="00141C43">
        <w:rPr>
          <w:rFonts w:ascii="Times New Roman" w:hAnsi="Times New Roman" w:cs="Times New Roman"/>
          <w:sz w:val="24"/>
          <w:szCs w:val="24"/>
        </w:rPr>
        <w:t>o diário oficial</w:t>
      </w:r>
      <w:r w:rsidR="0004202E" w:rsidRPr="00141C43">
        <w:rPr>
          <w:rFonts w:ascii="Times New Roman" w:hAnsi="Times New Roman" w:cs="Times New Roman"/>
          <w:sz w:val="24"/>
          <w:szCs w:val="24"/>
        </w:rPr>
        <w:t xml:space="preserve"> e</w:t>
      </w:r>
      <w:r w:rsidR="003C0E26" w:rsidRPr="00141C43">
        <w:rPr>
          <w:rFonts w:ascii="Times New Roman" w:hAnsi="Times New Roman" w:cs="Times New Roman"/>
          <w:sz w:val="24"/>
          <w:szCs w:val="24"/>
        </w:rPr>
        <w:t xml:space="preserve"> jorna</w:t>
      </w:r>
      <w:r w:rsidR="0004202E" w:rsidRPr="00141C43">
        <w:rPr>
          <w:rFonts w:ascii="Times New Roman" w:hAnsi="Times New Roman" w:cs="Times New Roman"/>
          <w:sz w:val="24"/>
          <w:szCs w:val="24"/>
        </w:rPr>
        <w:t>is</w:t>
      </w:r>
      <w:r w:rsidR="003C0E26" w:rsidRPr="00141C43">
        <w:rPr>
          <w:rFonts w:ascii="Times New Roman" w:hAnsi="Times New Roman" w:cs="Times New Roman"/>
          <w:sz w:val="24"/>
          <w:szCs w:val="24"/>
        </w:rPr>
        <w:t xml:space="preserve"> de</w:t>
      </w:r>
      <w:r w:rsidR="0004202E" w:rsidRPr="00141C43">
        <w:rPr>
          <w:rFonts w:ascii="Times New Roman" w:hAnsi="Times New Roman" w:cs="Times New Roman"/>
          <w:sz w:val="24"/>
          <w:szCs w:val="24"/>
        </w:rPr>
        <w:t xml:space="preserve"> grande</w:t>
      </w:r>
      <w:r w:rsidR="003C0E26" w:rsidRPr="00141C43">
        <w:rPr>
          <w:rFonts w:ascii="Times New Roman" w:hAnsi="Times New Roman" w:cs="Times New Roman"/>
          <w:sz w:val="24"/>
          <w:szCs w:val="24"/>
        </w:rPr>
        <w:t xml:space="preserve"> circulação</w:t>
      </w:r>
      <w:r w:rsidR="0004202E" w:rsidRPr="00141C43">
        <w:rPr>
          <w:rFonts w:ascii="Times New Roman" w:hAnsi="Times New Roman" w:cs="Times New Roman"/>
          <w:sz w:val="24"/>
          <w:szCs w:val="24"/>
        </w:rPr>
        <w:t>.</w:t>
      </w:r>
      <w:r w:rsidR="003C0E26" w:rsidRPr="00141C43">
        <w:rPr>
          <w:rFonts w:ascii="Times New Roman" w:hAnsi="Times New Roman" w:cs="Times New Roman"/>
          <w:sz w:val="24"/>
          <w:szCs w:val="24"/>
        </w:rPr>
        <w:t xml:space="preserve"> </w:t>
      </w:r>
      <w:r w:rsidR="0004202E" w:rsidRPr="00141C43">
        <w:rPr>
          <w:rFonts w:ascii="Times New Roman" w:hAnsi="Times New Roman" w:cs="Times New Roman"/>
          <w:sz w:val="24"/>
          <w:szCs w:val="24"/>
        </w:rPr>
        <w:t>Os dados foram</w:t>
      </w:r>
      <w:r w:rsidR="003C0E26" w:rsidRPr="00141C43">
        <w:rPr>
          <w:rFonts w:ascii="Times New Roman" w:hAnsi="Times New Roman" w:cs="Times New Roman"/>
          <w:sz w:val="24"/>
          <w:szCs w:val="24"/>
        </w:rPr>
        <w:t xml:space="preserve"> obtido</w:t>
      </w:r>
      <w:r w:rsidR="0004202E" w:rsidRPr="00141C43">
        <w:rPr>
          <w:rFonts w:ascii="Times New Roman" w:hAnsi="Times New Roman" w:cs="Times New Roman"/>
          <w:sz w:val="24"/>
          <w:szCs w:val="24"/>
        </w:rPr>
        <w:t>s pelo</w:t>
      </w:r>
      <w:r w:rsidR="003C0E26" w:rsidRPr="00141C43">
        <w:rPr>
          <w:rFonts w:ascii="Times New Roman" w:hAnsi="Times New Roman" w:cs="Times New Roman"/>
          <w:sz w:val="24"/>
          <w:szCs w:val="24"/>
        </w:rPr>
        <w:t xml:space="preserve"> RI </w:t>
      </w:r>
      <w:r w:rsidR="0004202E" w:rsidRPr="00141C43">
        <w:rPr>
          <w:rFonts w:ascii="Times New Roman" w:hAnsi="Times New Roman" w:cs="Times New Roman"/>
          <w:sz w:val="24"/>
          <w:szCs w:val="24"/>
        </w:rPr>
        <w:t>da</w:t>
      </w:r>
      <w:r w:rsidR="003C0E26" w:rsidRPr="00141C43">
        <w:rPr>
          <w:rFonts w:ascii="Times New Roman" w:hAnsi="Times New Roman" w:cs="Times New Roman"/>
          <w:sz w:val="24"/>
          <w:szCs w:val="24"/>
        </w:rPr>
        <w:t xml:space="preserve"> empresa para divulgação ao investidor. </w:t>
      </w:r>
      <w:r w:rsidRPr="00141C43">
        <w:rPr>
          <w:rFonts w:ascii="Times New Roman" w:hAnsi="Times New Roman" w:cs="Times New Roman"/>
          <w:sz w:val="24"/>
          <w:szCs w:val="24"/>
        </w:rPr>
        <w:t>Essas representam</w:t>
      </w:r>
      <w:r w:rsidR="003C0E26" w:rsidRPr="00141C43">
        <w:rPr>
          <w:rFonts w:ascii="Times New Roman" w:hAnsi="Times New Roman" w:cs="Times New Roman"/>
          <w:sz w:val="24"/>
          <w:szCs w:val="24"/>
        </w:rPr>
        <w:t xml:space="preserve"> 63,83% do mercad</w:t>
      </w:r>
      <w:r w:rsidR="00CE5FE8" w:rsidRPr="00141C43">
        <w:rPr>
          <w:rFonts w:ascii="Times New Roman" w:hAnsi="Times New Roman" w:cs="Times New Roman"/>
          <w:sz w:val="24"/>
          <w:szCs w:val="24"/>
        </w:rPr>
        <w:t xml:space="preserve">o segurador </w:t>
      </w:r>
      <w:r w:rsidRPr="00141C43">
        <w:rPr>
          <w:rFonts w:ascii="Times New Roman" w:hAnsi="Times New Roman" w:cs="Times New Roman"/>
          <w:sz w:val="24"/>
          <w:szCs w:val="24"/>
        </w:rPr>
        <w:t>em produtos, conforme</w:t>
      </w:r>
      <w:r w:rsidR="005147DA" w:rsidRPr="00141C43">
        <w:rPr>
          <w:rFonts w:ascii="Times New Roman" w:hAnsi="Times New Roman" w:cs="Times New Roman"/>
          <w:sz w:val="24"/>
          <w:szCs w:val="24"/>
        </w:rPr>
        <w:t xml:space="preserve"> </w:t>
      </w:r>
      <w:proofErr w:type="spellStart"/>
      <w:r w:rsidR="005147DA" w:rsidRPr="00141C43">
        <w:rPr>
          <w:rFonts w:ascii="Times New Roman" w:hAnsi="Times New Roman" w:cs="Times New Roman"/>
          <w:sz w:val="24"/>
          <w:szCs w:val="24"/>
        </w:rPr>
        <w:t>Sindsegsp</w:t>
      </w:r>
      <w:proofErr w:type="spellEnd"/>
      <w:r w:rsidRPr="00141C43">
        <w:rPr>
          <w:rFonts w:ascii="Times New Roman" w:hAnsi="Times New Roman" w:cs="Times New Roman"/>
          <w:sz w:val="24"/>
          <w:szCs w:val="24"/>
        </w:rPr>
        <w:t>, e</w:t>
      </w:r>
      <w:r w:rsidR="005147DA" w:rsidRPr="00141C43">
        <w:rPr>
          <w:rFonts w:ascii="Times New Roman" w:hAnsi="Times New Roman" w:cs="Times New Roman"/>
          <w:sz w:val="24"/>
          <w:szCs w:val="24"/>
        </w:rPr>
        <w:t xml:space="preserve"> são inscritas n</w:t>
      </w:r>
      <w:r w:rsidR="003C0E26" w:rsidRPr="00141C43">
        <w:rPr>
          <w:rFonts w:ascii="Times New Roman" w:hAnsi="Times New Roman" w:cs="Times New Roman"/>
          <w:sz w:val="24"/>
          <w:szCs w:val="24"/>
        </w:rPr>
        <w:t>a Susep.</w:t>
      </w:r>
    </w:p>
    <w:p w14:paraId="1502F4B0" w14:textId="0E13D475" w:rsidR="002970AB" w:rsidRDefault="007927D7" w:rsidP="002970AB">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Devido à</w:t>
      </w:r>
      <w:r w:rsidR="008A3A01" w:rsidRPr="00141C43">
        <w:rPr>
          <w:rFonts w:ascii="Times New Roman" w:hAnsi="Times New Roman" w:cs="Times New Roman"/>
          <w:sz w:val="24"/>
          <w:szCs w:val="24"/>
        </w:rPr>
        <w:t xml:space="preserve"> nece</w:t>
      </w:r>
      <w:r w:rsidR="003E5999" w:rsidRPr="00141C43">
        <w:rPr>
          <w:rFonts w:ascii="Times New Roman" w:hAnsi="Times New Roman" w:cs="Times New Roman"/>
          <w:sz w:val="24"/>
          <w:szCs w:val="24"/>
        </w:rPr>
        <w:t>ssidade de reclassificação</w:t>
      </w:r>
      <w:r w:rsidRPr="00141C43">
        <w:rPr>
          <w:rFonts w:ascii="Times New Roman" w:hAnsi="Times New Roman" w:cs="Times New Roman"/>
          <w:sz w:val="24"/>
          <w:szCs w:val="24"/>
        </w:rPr>
        <w:t xml:space="preserve">, foram analisadas </w:t>
      </w:r>
      <w:r w:rsidR="003E5999" w:rsidRPr="00141C43">
        <w:rPr>
          <w:rFonts w:ascii="Times New Roman" w:hAnsi="Times New Roman" w:cs="Times New Roman"/>
          <w:sz w:val="24"/>
          <w:szCs w:val="24"/>
        </w:rPr>
        <w:t xml:space="preserve">as seguradoras </w:t>
      </w:r>
      <w:r w:rsidR="008A3A01" w:rsidRPr="00141C43">
        <w:rPr>
          <w:rFonts w:ascii="Times New Roman" w:hAnsi="Times New Roman" w:cs="Times New Roman"/>
          <w:sz w:val="24"/>
          <w:szCs w:val="24"/>
        </w:rPr>
        <w:t>com grande diversidade sobre o seu gerenciamento de risco</w:t>
      </w:r>
      <w:r w:rsidRPr="00141C43">
        <w:rPr>
          <w:rFonts w:ascii="Times New Roman" w:hAnsi="Times New Roman" w:cs="Times New Roman"/>
          <w:sz w:val="24"/>
          <w:szCs w:val="24"/>
        </w:rPr>
        <w:t>;</w:t>
      </w:r>
      <w:r w:rsidR="003E5999" w:rsidRPr="00141C43">
        <w:rPr>
          <w:rFonts w:ascii="Times New Roman" w:hAnsi="Times New Roman" w:cs="Times New Roman"/>
          <w:sz w:val="24"/>
          <w:szCs w:val="24"/>
        </w:rPr>
        <w:t xml:space="preserve"> ou seja, </w:t>
      </w:r>
      <w:r w:rsidRPr="00141C43">
        <w:rPr>
          <w:rFonts w:ascii="Times New Roman" w:hAnsi="Times New Roman" w:cs="Times New Roman"/>
          <w:sz w:val="24"/>
          <w:szCs w:val="24"/>
        </w:rPr>
        <w:t>que apresenta</w:t>
      </w:r>
      <w:r w:rsidR="007E39AA" w:rsidRPr="00141C43">
        <w:rPr>
          <w:rFonts w:ascii="Times New Roman" w:hAnsi="Times New Roman" w:cs="Times New Roman"/>
          <w:sz w:val="24"/>
          <w:szCs w:val="24"/>
        </w:rPr>
        <w:t>va</w:t>
      </w:r>
      <w:r w:rsidRPr="00141C43">
        <w:rPr>
          <w:rFonts w:ascii="Times New Roman" w:hAnsi="Times New Roman" w:cs="Times New Roman"/>
          <w:sz w:val="24"/>
          <w:szCs w:val="24"/>
        </w:rPr>
        <w:t>m</w:t>
      </w:r>
      <w:r w:rsidR="003E5999" w:rsidRPr="00141C43">
        <w:rPr>
          <w:rFonts w:ascii="Times New Roman" w:hAnsi="Times New Roman" w:cs="Times New Roman"/>
          <w:sz w:val="24"/>
          <w:szCs w:val="24"/>
        </w:rPr>
        <w:t xml:space="preserve"> diversidade sobre suas classificações de mensuração</w:t>
      </w:r>
      <w:r w:rsidR="008A3A01" w:rsidRPr="00141C43">
        <w:rPr>
          <w:rFonts w:ascii="Times New Roman" w:hAnsi="Times New Roman" w:cs="Times New Roman"/>
          <w:sz w:val="24"/>
          <w:szCs w:val="24"/>
        </w:rPr>
        <w:t>.</w:t>
      </w:r>
      <w:r w:rsidR="0080166B" w:rsidRPr="00141C43">
        <w:rPr>
          <w:rFonts w:ascii="Times New Roman" w:hAnsi="Times New Roman" w:cs="Times New Roman"/>
          <w:sz w:val="24"/>
          <w:szCs w:val="24"/>
        </w:rPr>
        <w:t xml:space="preserve"> </w:t>
      </w:r>
      <w:r w:rsidR="00047C96">
        <w:rPr>
          <w:rFonts w:ascii="Times New Roman" w:hAnsi="Times New Roman" w:cs="Times New Roman"/>
          <w:sz w:val="24"/>
          <w:szCs w:val="24"/>
        </w:rPr>
        <w:t>Segue a tabela 5</w:t>
      </w:r>
      <w:r w:rsidRPr="00141C43">
        <w:rPr>
          <w:rFonts w:ascii="Times New Roman" w:hAnsi="Times New Roman" w:cs="Times New Roman"/>
          <w:sz w:val="24"/>
          <w:szCs w:val="24"/>
        </w:rPr>
        <w:t xml:space="preserve"> </w:t>
      </w:r>
      <w:r w:rsidR="00047C96">
        <w:rPr>
          <w:rFonts w:ascii="Times New Roman" w:hAnsi="Times New Roman" w:cs="Times New Roman"/>
          <w:sz w:val="24"/>
          <w:szCs w:val="24"/>
        </w:rPr>
        <w:t>elaborada</w:t>
      </w:r>
      <w:r w:rsidR="0080166B" w:rsidRPr="00141C43">
        <w:rPr>
          <w:rFonts w:ascii="Times New Roman" w:hAnsi="Times New Roman" w:cs="Times New Roman"/>
          <w:sz w:val="24"/>
          <w:szCs w:val="24"/>
        </w:rPr>
        <w:t xml:space="preserve"> com títulos de dívida públic</w:t>
      </w:r>
      <w:r w:rsidRPr="00141C43">
        <w:rPr>
          <w:rFonts w:ascii="Times New Roman" w:hAnsi="Times New Roman" w:cs="Times New Roman"/>
          <w:sz w:val="24"/>
          <w:szCs w:val="24"/>
        </w:rPr>
        <w:t>a</w:t>
      </w:r>
      <w:r w:rsidR="0080166B" w:rsidRPr="00141C43">
        <w:rPr>
          <w:rFonts w:ascii="Times New Roman" w:hAnsi="Times New Roman" w:cs="Times New Roman"/>
          <w:sz w:val="24"/>
          <w:szCs w:val="24"/>
        </w:rPr>
        <w:t xml:space="preserve"> e privad</w:t>
      </w:r>
      <w:r w:rsidRPr="00141C43">
        <w:rPr>
          <w:rFonts w:ascii="Times New Roman" w:hAnsi="Times New Roman" w:cs="Times New Roman"/>
          <w:sz w:val="24"/>
          <w:szCs w:val="24"/>
        </w:rPr>
        <w:t>a</w:t>
      </w:r>
      <w:r w:rsidR="0080166B" w:rsidRPr="00141C43">
        <w:rPr>
          <w:rFonts w:ascii="Times New Roman" w:hAnsi="Times New Roman" w:cs="Times New Roman"/>
          <w:sz w:val="24"/>
          <w:szCs w:val="24"/>
        </w:rPr>
        <w:t xml:space="preserve"> (LTN, NTN, LFT e Deb</w:t>
      </w:r>
      <w:r w:rsidRPr="00141C43">
        <w:rPr>
          <w:rFonts w:ascii="Times New Roman" w:hAnsi="Times New Roman" w:cs="Times New Roman"/>
          <w:sz w:val="24"/>
          <w:szCs w:val="24"/>
        </w:rPr>
        <w:t>ê</w:t>
      </w:r>
      <w:r w:rsidR="0080166B" w:rsidRPr="00141C43">
        <w:rPr>
          <w:rFonts w:ascii="Times New Roman" w:hAnsi="Times New Roman" w:cs="Times New Roman"/>
          <w:sz w:val="24"/>
          <w:szCs w:val="24"/>
        </w:rPr>
        <w:t>ntures):</w:t>
      </w:r>
    </w:p>
    <w:p w14:paraId="304CD99A" w14:textId="283CE22A" w:rsidR="00CB0FDF" w:rsidRPr="00141C43" w:rsidRDefault="00CB0FDF" w:rsidP="005269C2">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Tabela </w:t>
      </w:r>
      <w:r w:rsidR="002970AB">
        <w:rPr>
          <w:rFonts w:ascii="Times New Roman" w:hAnsi="Times New Roman" w:cs="Times New Roman"/>
          <w:sz w:val="24"/>
          <w:szCs w:val="24"/>
        </w:rPr>
        <w:t>5</w:t>
      </w:r>
    </w:p>
    <w:p w14:paraId="0F44C470" w14:textId="001BDA84" w:rsidR="0080166B" w:rsidRPr="00141C43" w:rsidRDefault="00780FFF" w:rsidP="005269C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Publicações de t</w:t>
      </w:r>
      <w:r w:rsidR="0080166B" w:rsidRPr="00141C43">
        <w:rPr>
          <w:rFonts w:ascii="Times New Roman" w:hAnsi="Times New Roman" w:cs="Times New Roman"/>
          <w:b/>
          <w:sz w:val="24"/>
          <w:szCs w:val="24"/>
        </w:rPr>
        <w:t>ítulos de dívida pública e privada</w:t>
      </w:r>
    </w:p>
    <w:tbl>
      <w:tblPr>
        <w:tblW w:w="7927" w:type="dxa"/>
        <w:tblInd w:w="779" w:type="dxa"/>
        <w:tblCellMar>
          <w:left w:w="70" w:type="dxa"/>
          <w:right w:w="70" w:type="dxa"/>
        </w:tblCellMar>
        <w:tblLook w:val="04A0" w:firstRow="1" w:lastRow="0" w:firstColumn="1" w:lastColumn="0" w:noHBand="0" w:noVBand="1"/>
      </w:tblPr>
      <w:tblGrid>
        <w:gridCol w:w="2127"/>
        <w:gridCol w:w="1460"/>
        <w:gridCol w:w="1460"/>
        <w:gridCol w:w="1380"/>
        <w:gridCol w:w="1500"/>
      </w:tblGrid>
      <w:tr w:rsidR="0080166B" w:rsidRPr="00141C43" w14:paraId="7A02E145" w14:textId="77777777" w:rsidTr="00CB0FDF">
        <w:trPr>
          <w:trHeight w:val="330"/>
        </w:trPr>
        <w:tc>
          <w:tcPr>
            <w:tcW w:w="2127" w:type="dxa"/>
            <w:tcBorders>
              <w:top w:val="single" w:sz="4" w:space="0" w:color="auto"/>
              <w:left w:val="nil"/>
              <w:bottom w:val="single" w:sz="4" w:space="0" w:color="auto"/>
              <w:right w:val="nil"/>
            </w:tcBorders>
            <w:shd w:val="clear" w:color="auto" w:fill="auto"/>
            <w:noWrap/>
            <w:vAlign w:val="bottom"/>
            <w:hideMark/>
          </w:tcPr>
          <w:p w14:paraId="5C30A7D8" w14:textId="77777777" w:rsidR="0080166B" w:rsidRPr="00141C43" w:rsidRDefault="0080166B" w:rsidP="005269C2">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Seguradora</w:t>
            </w:r>
          </w:p>
        </w:tc>
        <w:tc>
          <w:tcPr>
            <w:tcW w:w="1460" w:type="dxa"/>
            <w:tcBorders>
              <w:top w:val="single" w:sz="4" w:space="0" w:color="auto"/>
              <w:left w:val="nil"/>
              <w:bottom w:val="single" w:sz="4" w:space="0" w:color="auto"/>
              <w:right w:val="nil"/>
            </w:tcBorders>
            <w:shd w:val="clear" w:color="auto" w:fill="auto"/>
            <w:noWrap/>
            <w:vAlign w:val="bottom"/>
            <w:hideMark/>
          </w:tcPr>
          <w:p w14:paraId="51A3FB49" w14:textId="77777777" w:rsidR="0080166B" w:rsidRPr="00141C43" w:rsidRDefault="0080166B" w:rsidP="005269C2">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DVJ</w:t>
            </w:r>
          </w:p>
        </w:tc>
        <w:tc>
          <w:tcPr>
            <w:tcW w:w="1460" w:type="dxa"/>
            <w:tcBorders>
              <w:top w:val="single" w:sz="4" w:space="0" w:color="auto"/>
              <w:left w:val="nil"/>
              <w:bottom w:val="single" w:sz="4" w:space="0" w:color="auto"/>
              <w:right w:val="nil"/>
            </w:tcBorders>
            <w:shd w:val="clear" w:color="auto" w:fill="auto"/>
            <w:noWrap/>
            <w:vAlign w:val="bottom"/>
            <w:hideMark/>
          </w:tcPr>
          <w:p w14:paraId="1AEBF5FD" w14:textId="77777777" w:rsidR="0080166B" w:rsidRPr="00141C43" w:rsidRDefault="0080166B" w:rsidP="005269C2">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DPV</w:t>
            </w:r>
          </w:p>
        </w:tc>
        <w:tc>
          <w:tcPr>
            <w:tcW w:w="1380" w:type="dxa"/>
            <w:tcBorders>
              <w:top w:val="single" w:sz="4" w:space="0" w:color="auto"/>
              <w:left w:val="nil"/>
              <w:bottom w:val="single" w:sz="4" w:space="0" w:color="auto"/>
              <w:right w:val="nil"/>
            </w:tcBorders>
            <w:shd w:val="clear" w:color="auto" w:fill="auto"/>
            <w:noWrap/>
            <w:vAlign w:val="bottom"/>
            <w:hideMark/>
          </w:tcPr>
          <w:p w14:paraId="6948B5E9" w14:textId="77777777" w:rsidR="0080166B" w:rsidRPr="00141C43" w:rsidRDefault="0080166B" w:rsidP="005269C2">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MAV</w:t>
            </w:r>
          </w:p>
        </w:tc>
        <w:tc>
          <w:tcPr>
            <w:tcW w:w="1500" w:type="dxa"/>
            <w:tcBorders>
              <w:top w:val="single" w:sz="4" w:space="0" w:color="auto"/>
              <w:left w:val="nil"/>
              <w:bottom w:val="single" w:sz="4" w:space="0" w:color="auto"/>
              <w:right w:val="nil"/>
            </w:tcBorders>
            <w:shd w:val="clear" w:color="auto" w:fill="auto"/>
            <w:noWrap/>
            <w:vAlign w:val="bottom"/>
            <w:hideMark/>
          </w:tcPr>
          <w:p w14:paraId="2577A508" w14:textId="77777777" w:rsidR="0080166B" w:rsidRPr="00141C43" w:rsidRDefault="0080166B" w:rsidP="005269C2">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w:t>
            </w:r>
          </w:p>
        </w:tc>
      </w:tr>
      <w:tr w:rsidR="0080166B" w:rsidRPr="00141C43" w14:paraId="66F873F1" w14:textId="77777777" w:rsidTr="00CB0FDF">
        <w:trPr>
          <w:trHeight w:val="330"/>
        </w:trPr>
        <w:tc>
          <w:tcPr>
            <w:tcW w:w="2127" w:type="dxa"/>
            <w:tcBorders>
              <w:top w:val="single" w:sz="4" w:space="0" w:color="auto"/>
              <w:left w:val="nil"/>
              <w:bottom w:val="nil"/>
              <w:right w:val="nil"/>
            </w:tcBorders>
            <w:shd w:val="clear" w:color="auto" w:fill="auto"/>
            <w:noWrap/>
            <w:vAlign w:val="bottom"/>
            <w:hideMark/>
          </w:tcPr>
          <w:p w14:paraId="5B890B33"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Bradesco Seguros</w:t>
            </w:r>
          </w:p>
        </w:tc>
        <w:tc>
          <w:tcPr>
            <w:tcW w:w="1460" w:type="dxa"/>
            <w:tcBorders>
              <w:top w:val="single" w:sz="4" w:space="0" w:color="auto"/>
              <w:left w:val="nil"/>
              <w:bottom w:val="nil"/>
              <w:right w:val="nil"/>
            </w:tcBorders>
            <w:shd w:val="clear" w:color="auto" w:fill="auto"/>
            <w:noWrap/>
            <w:vAlign w:val="bottom"/>
            <w:hideMark/>
          </w:tcPr>
          <w:p w14:paraId="337F9C8A"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90.618.024 </w:t>
            </w:r>
          </w:p>
        </w:tc>
        <w:tc>
          <w:tcPr>
            <w:tcW w:w="1460" w:type="dxa"/>
            <w:tcBorders>
              <w:top w:val="single" w:sz="4" w:space="0" w:color="auto"/>
              <w:left w:val="nil"/>
              <w:bottom w:val="nil"/>
              <w:right w:val="nil"/>
            </w:tcBorders>
            <w:shd w:val="clear" w:color="auto" w:fill="auto"/>
            <w:noWrap/>
            <w:vAlign w:val="bottom"/>
            <w:hideMark/>
          </w:tcPr>
          <w:p w14:paraId="41A51B05"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19.785.124 </w:t>
            </w:r>
          </w:p>
        </w:tc>
        <w:tc>
          <w:tcPr>
            <w:tcW w:w="1380" w:type="dxa"/>
            <w:tcBorders>
              <w:top w:val="single" w:sz="4" w:space="0" w:color="auto"/>
              <w:left w:val="nil"/>
              <w:bottom w:val="nil"/>
              <w:right w:val="nil"/>
            </w:tcBorders>
            <w:shd w:val="clear" w:color="auto" w:fill="auto"/>
            <w:noWrap/>
            <w:vAlign w:val="bottom"/>
            <w:hideMark/>
          </w:tcPr>
          <w:p w14:paraId="760A7431"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27.404.997 </w:t>
            </w:r>
          </w:p>
        </w:tc>
        <w:tc>
          <w:tcPr>
            <w:tcW w:w="1500" w:type="dxa"/>
            <w:tcBorders>
              <w:top w:val="single" w:sz="4" w:space="0" w:color="auto"/>
              <w:left w:val="nil"/>
              <w:bottom w:val="nil"/>
              <w:right w:val="nil"/>
            </w:tcBorders>
            <w:shd w:val="clear" w:color="auto" w:fill="auto"/>
            <w:noWrap/>
            <w:vAlign w:val="bottom"/>
            <w:hideMark/>
          </w:tcPr>
          <w:p w14:paraId="0A1872CA"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137.808.145 </w:t>
            </w:r>
          </w:p>
        </w:tc>
      </w:tr>
      <w:tr w:rsidR="0080166B" w:rsidRPr="00141C43" w14:paraId="552E9318" w14:textId="77777777" w:rsidTr="0080166B">
        <w:trPr>
          <w:trHeight w:val="315"/>
        </w:trPr>
        <w:tc>
          <w:tcPr>
            <w:tcW w:w="2127" w:type="dxa"/>
            <w:tcBorders>
              <w:top w:val="nil"/>
              <w:left w:val="nil"/>
              <w:bottom w:val="nil"/>
              <w:right w:val="nil"/>
            </w:tcBorders>
            <w:shd w:val="clear" w:color="auto" w:fill="auto"/>
            <w:noWrap/>
            <w:vAlign w:val="bottom"/>
            <w:hideMark/>
          </w:tcPr>
          <w:p w14:paraId="6484C61B"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proofErr w:type="spellStart"/>
            <w:r w:rsidRPr="00141C43">
              <w:rPr>
                <w:rFonts w:ascii="Times New Roman" w:eastAsia="Times New Roman" w:hAnsi="Times New Roman" w:cs="Times New Roman"/>
                <w:color w:val="000000"/>
                <w:sz w:val="24"/>
                <w:szCs w:val="24"/>
                <w:lang w:eastAsia="pt-BR"/>
              </w:rPr>
              <w:t>Brasilprev</w:t>
            </w:r>
            <w:proofErr w:type="spellEnd"/>
          </w:p>
        </w:tc>
        <w:tc>
          <w:tcPr>
            <w:tcW w:w="1460" w:type="dxa"/>
            <w:tcBorders>
              <w:top w:val="nil"/>
              <w:left w:val="nil"/>
              <w:bottom w:val="nil"/>
              <w:right w:val="nil"/>
            </w:tcBorders>
            <w:shd w:val="clear" w:color="auto" w:fill="auto"/>
            <w:noWrap/>
            <w:vAlign w:val="bottom"/>
            <w:hideMark/>
          </w:tcPr>
          <w:p w14:paraId="54B0E6AE"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161.136 </w:t>
            </w:r>
          </w:p>
        </w:tc>
        <w:tc>
          <w:tcPr>
            <w:tcW w:w="1460" w:type="dxa"/>
            <w:tcBorders>
              <w:top w:val="nil"/>
              <w:left w:val="nil"/>
              <w:bottom w:val="nil"/>
              <w:right w:val="nil"/>
            </w:tcBorders>
            <w:shd w:val="clear" w:color="auto" w:fill="auto"/>
            <w:noWrap/>
            <w:vAlign w:val="bottom"/>
            <w:hideMark/>
          </w:tcPr>
          <w:p w14:paraId="218E7821"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96.857.868 </w:t>
            </w:r>
          </w:p>
        </w:tc>
        <w:tc>
          <w:tcPr>
            <w:tcW w:w="1380" w:type="dxa"/>
            <w:tcBorders>
              <w:top w:val="nil"/>
              <w:left w:val="nil"/>
              <w:bottom w:val="nil"/>
              <w:right w:val="nil"/>
            </w:tcBorders>
            <w:shd w:val="clear" w:color="auto" w:fill="auto"/>
            <w:noWrap/>
            <w:vAlign w:val="bottom"/>
            <w:hideMark/>
          </w:tcPr>
          <w:p w14:paraId="71A3586F"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9.929.515 </w:t>
            </w:r>
          </w:p>
        </w:tc>
        <w:tc>
          <w:tcPr>
            <w:tcW w:w="1500" w:type="dxa"/>
            <w:tcBorders>
              <w:top w:val="nil"/>
              <w:left w:val="nil"/>
              <w:bottom w:val="nil"/>
              <w:right w:val="nil"/>
            </w:tcBorders>
            <w:shd w:val="clear" w:color="auto" w:fill="auto"/>
            <w:noWrap/>
            <w:vAlign w:val="bottom"/>
            <w:hideMark/>
          </w:tcPr>
          <w:p w14:paraId="2284A159"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106.948.519 </w:t>
            </w:r>
          </w:p>
        </w:tc>
      </w:tr>
      <w:tr w:rsidR="0080166B" w:rsidRPr="00141C43" w14:paraId="2508CBFF" w14:textId="77777777" w:rsidTr="0080166B">
        <w:trPr>
          <w:trHeight w:val="315"/>
        </w:trPr>
        <w:tc>
          <w:tcPr>
            <w:tcW w:w="2127" w:type="dxa"/>
            <w:tcBorders>
              <w:top w:val="nil"/>
              <w:left w:val="nil"/>
              <w:bottom w:val="nil"/>
              <w:right w:val="nil"/>
            </w:tcBorders>
            <w:shd w:val="clear" w:color="auto" w:fill="auto"/>
            <w:noWrap/>
            <w:vAlign w:val="bottom"/>
            <w:hideMark/>
          </w:tcPr>
          <w:p w14:paraId="76CDEFA9"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Itaú Seguros</w:t>
            </w:r>
          </w:p>
        </w:tc>
        <w:tc>
          <w:tcPr>
            <w:tcW w:w="1460" w:type="dxa"/>
            <w:tcBorders>
              <w:top w:val="nil"/>
              <w:left w:val="nil"/>
              <w:bottom w:val="nil"/>
              <w:right w:val="nil"/>
            </w:tcBorders>
            <w:shd w:val="clear" w:color="auto" w:fill="auto"/>
            <w:noWrap/>
            <w:vAlign w:val="bottom"/>
            <w:hideMark/>
          </w:tcPr>
          <w:p w14:paraId="55700E78"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71.149.793 </w:t>
            </w:r>
          </w:p>
        </w:tc>
        <w:tc>
          <w:tcPr>
            <w:tcW w:w="1460" w:type="dxa"/>
            <w:tcBorders>
              <w:top w:val="nil"/>
              <w:left w:val="nil"/>
              <w:bottom w:val="nil"/>
              <w:right w:val="nil"/>
            </w:tcBorders>
            <w:shd w:val="clear" w:color="auto" w:fill="auto"/>
            <w:noWrap/>
            <w:vAlign w:val="bottom"/>
            <w:hideMark/>
          </w:tcPr>
          <w:p w14:paraId="46E7F6F9"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2.452.618 </w:t>
            </w:r>
          </w:p>
        </w:tc>
        <w:tc>
          <w:tcPr>
            <w:tcW w:w="1380" w:type="dxa"/>
            <w:tcBorders>
              <w:top w:val="nil"/>
              <w:left w:val="nil"/>
              <w:bottom w:val="nil"/>
              <w:right w:val="nil"/>
            </w:tcBorders>
            <w:shd w:val="clear" w:color="auto" w:fill="auto"/>
            <w:noWrap/>
            <w:vAlign w:val="bottom"/>
            <w:hideMark/>
          </w:tcPr>
          <w:p w14:paraId="4BFA7F14"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3.607.416 </w:t>
            </w:r>
          </w:p>
        </w:tc>
        <w:tc>
          <w:tcPr>
            <w:tcW w:w="1500" w:type="dxa"/>
            <w:tcBorders>
              <w:top w:val="nil"/>
              <w:left w:val="nil"/>
              <w:bottom w:val="nil"/>
              <w:right w:val="nil"/>
            </w:tcBorders>
            <w:shd w:val="clear" w:color="auto" w:fill="auto"/>
            <w:noWrap/>
            <w:vAlign w:val="bottom"/>
            <w:hideMark/>
          </w:tcPr>
          <w:p w14:paraId="63EA0D30"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77.209.827 </w:t>
            </w:r>
          </w:p>
        </w:tc>
      </w:tr>
      <w:tr w:rsidR="0080166B" w:rsidRPr="00141C43" w14:paraId="7B643316" w14:textId="77777777" w:rsidTr="0080166B">
        <w:trPr>
          <w:trHeight w:val="315"/>
        </w:trPr>
        <w:tc>
          <w:tcPr>
            <w:tcW w:w="2127" w:type="dxa"/>
            <w:tcBorders>
              <w:top w:val="nil"/>
              <w:left w:val="nil"/>
              <w:bottom w:val="nil"/>
              <w:right w:val="nil"/>
            </w:tcBorders>
            <w:shd w:val="clear" w:color="auto" w:fill="auto"/>
            <w:noWrap/>
            <w:vAlign w:val="bottom"/>
            <w:hideMark/>
          </w:tcPr>
          <w:p w14:paraId="5D86BC25"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BB Mapfre</w:t>
            </w:r>
          </w:p>
        </w:tc>
        <w:tc>
          <w:tcPr>
            <w:tcW w:w="1460" w:type="dxa"/>
            <w:tcBorders>
              <w:top w:val="nil"/>
              <w:left w:val="nil"/>
              <w:bottom w:val="nil"/>
              <w:right w:val="nil"/>
            </w:tcBorders>
            <w:shd w:val="clear" w:color="auto" w:fill="auto"/>
            <w:noWrap/>
            <w:vAlign w:val="bottom"/>
            <w:hideMark/>
          </w:tcPr>
          <w:p w14:paraId="14ECAE5C"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1.271.795 </w:t>
            </w:r>
          </w:p>
        </w:tc>
        <w:tc>
          <w:tcPr>
            <w:tcW w:w="1460" w:type="dxa"/>
            <w:tcBorders>
              <w:top w:val="nil"/>
              <w:left w:val="nil"/>
              <w:bottom w:val="nil"/>
              <w:right w:val="nil"/>
            </w:tcBorders>
            <w:shd w:val="clear" w:color="auto" w:fill="auto"/>
            <w:noWrap/>
            <w:vAlign w:val="bottom"/>
            <w:hideMark/>
          </w:tcPr>
          <w:p w14:paraId="56E9CDDF"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1.212.874 </w:t>
            </w:r>
          </w:p>
        </w:tc>
        <w:tc>
          <w:tcPr>
            <w:tcW w:w="1380" w:type="dxa"/>
            <w:tcBorders>
              <w:top w:val="nil"/>
              <w:left w:val="nil"/>
              <w:bottom w:val="nil"/>
              <w:right w:val="nil"/>
            </w:tcBorders>
            <w:shd w:val="clear" w:color="auto" w:fill="auto"/>
            <w:noWrap/>
            <w:vAlign w:val="bottom"/>
            <w:hideMark/>
          </w:tcPr>
          <w:p w14:paraId="628BC4AB"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1.628.669 </w:t>
            </w:r>
          </w:p>
        </w:tc>
        <w:tc>
          <w:tcPr>
            <w:tcW w:w="1500" w:type="dxa"/>
            <w:tcBorders>
              <w:top w:val="nil"/>
              <w:left w:val="nil"/>
              <w:bottom w:val="nil"/>
              <w:right w:val="nil"/>
            </w:tcBorders>
            <w:shd w:val="clear" w:color="auto" w:fill="auto"/>
            <w:noWrap/>
            <w:vAlign w:val="bottom"/>
            <w:hideMark/>
          </w:tcPr>
          <w:p w14:paraId="2704BA1A"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4.113.338 </w:t>
            </w:r>
          </w:p>
        </w:tc>
      </w:tr>
      <w:tr w:rsidR="0080166B" w:rsidRPr="00141C43" w14:paraId="668DA17F" w14:textId="77777777" w:rsidTr="00CB0FDF">
        <w:trPr>
          <w:trHeight w:val="315"/>
        </w:trPr>
        <w:tc>
          <w:tcPr>
            <w:tcW w:w="2127" w:type="dxa"/>
            <w:tcBorders>
              <w:top w:val="nil"/>
              <w:left w:val="nil"/>
              <w:bottom w:val="single" w:sz="4" w:space="0" w:color="auto"/>
              <w:right w:val="nil"/>
            </w:tcBorders>
            <w:shd w:val="clear" w:color="auto" w:fill="auto"/>
            <w:noWrap/>
            <w:vAlign w:val="bottom"/>
            <w:hideMark/>
          </w:tcPr>
          <w:p w14:paraId="4E08C34F"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Caixa Seguros</w:t>
            </w:r>
          </w:p>
        </w:tc>
        <w:tc>
          <w:tcPr>
            <w:tcW w:w="1460" w:type="dxa"/>
            <w:tcBorders>
              <w:top w:val="nil"/>
              <w:left w:val="nil"/>
              <w:bottom w:val="single" w:sz="4" w:space="0" w:color="auto"/>
              <w:right w:val="nil"/>
            </w:tcBorders>
            <w:shd w:val="clear" w:color="auto" w:fill="auto"/>
            <w:noWrap/>
            <w:vAlign w:val="bottom"/>
            <w:hideMark/>
          </w:tcPr>
          <w:p w14:paraId="41399254"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9.083 </w:t>
            </w:r>
          </w:p>
        </w:tc>
        <w:tc>
          <w:tcPr>
            <w:tcW w:w="1460" w:type="dxa"/>
            <w:tcBorders>
              <w:top w:val="nil"/>
              <w:left w:val="nil"/>
              <w:bottom w:val="single" w:sz="4" w:space="0" w:color="auto"/>
              <w:right w:val="nil"/>
            </w:tcBorders>
            <w:shd w:val="clear" w:color="auto" w:fill="auto"/>
            <w:noWrap/>
            <w:vAlign w:val="bottom"/>
            <w:hideMark/>
          </w:tcPr>
          <w:p w14:paraId="58AF782E"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96.428 </w:t>
            </w:r>
          </w:p>
        </w:tc>
        <w:tc>
          <w:tcPr>
            <w:tcW w:w="1380" w:type="dxa"/>
            <w:tcBorders>
              <w:top w:val="nil"/>
              <w:left w:val="nil"/>
              <w:bottom w:val="single" w:sz="4" w:space="0" w:color="auto"/>
              <w:right w:val="nil"/>
            </w:tcBorders>
            <w:shd w:val="clear" w:color="auto" w:fill="auto"/>
            <w:noWrap/>
            <w:vAlign w:val="bottom"/>
            <w:hideMark/>
          </w:tcPr>
          <w:p w14:paraId="5EA26A7B"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64.140 </w:t>
            </w:r>
          </w:p>
        </w:tc>
        <w:tc>
          <w:tcPr>
            <w:tcW w:w="1500" w:type="dxa"/>
            <w:tcBorders>
              <w:top w:val="nil"/>
              <w:left w:val="nil"/>
              <w:bottom w:val="single" w:sz="4" w:space="0" w:color="auto"/>
              <w:right w:val="nil"/>
            </w:tcBorders>
            <w:shd w:val="clear" w:color="auto" w:fill="auto"/>
            <w:noWrap/>
            <w:vAlign w:val="bottom"/>
            <w:hideMark/>
          </w:tcPr>
          <w:p w14:paraId="17DBCE7F" w14:textId="77777777" w:rsidR="0080166B" w:rsidRPr="00141C43" w:rsidRDefault="0080166B" w:rsidP="0080166B">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169.651 </w:t>
            </w:r>
          </w:p>
        </w:tc>
      </w:tr>
      <w:tr w:rsidR="0080166B" w:rsidRPr="00141C43" w14:paraId="65B5F152" w14:textId="77777777" w:rsidTr="00CB0FDF">
        <w:trPr>
          <w:trHeight w:val="330"/>
        </w:trPr>
        <w:tc>
          <w:tcPr>
            <w:tcW w:w="2127" w:type="dxa"/>
            <w:tcBorders>
              <w:top w:val="single" w:sz="4" w:space="0" w:color="auto"/>
              <w:left w:val="nil"/>
              <w:bottom w:val="single" w:sz="4" w:space="0" w:color="auto"/>
              <w:right w:val="nil"/>
            </w:tcBorders>
            <w:shd w:val="clear" w:color="auto" w:fill="auto"/>
            <w:noWrap/>
            <w:vAlign w:val="bottom"/>
            <w:hideMark/>
          </w:tcPr>
          <w:p w14:paraId="62796A4A" w14:textId="77777777" w:rsidR="0080166B" w:rsidRPr="00141C43" w:rsidRDefault="0080166B" w:rsidP="0080166B">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w:t>
            </w:r>
          </w:p>
        </w:tc>
        <w:tc>
          <w:tcPr>
            <w:tcW w:w="1460" w:type="dxa"/>
            <w:tcBorders>
              <w:top w:val="single" w:sz="4" w:space="0" w:color="auto"/>
              <w:left w:val="nil"/>
              <w:bottom w:val="single" w:sz="4" w:space="0" w:color="auto"/>
              <w:right w:val="nil"/>
            </w:tcBorders>
            <w:shd w:val="clear" w:color="auto" w:fill="auto"/>
            <w:noWrap/>
            <w:vAlign w:val="bottom"/>
            <w:hideMark/>
          </w:tcPr>
          <w:p w14:paraId="66EF7AF6" w14:textId="77777777" w:rsidR="0080166B" w:rsidRPr="00141C43" w:rsidRDefault="0080166B" w:rsidP="0080166B">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163.209.831 </w:t>
            </w:r>
          </w:p>
        </w:tc>
        <w:tc>
          <w:tcPr>
            <w:tcW w:w="1460" w:type="dxa"/>
            <w:tcBorders>
              <w:top w:val="single" w:sz="4" w:space="0" w:color="auto"/>
              <w:left w:val="nil"/>
              <w:bottom w:val="single" w:sz="4" w:space="0" w:color="auto"/>
              <w:right w:val="nil"/>
            </w:tcBorders>
            <w:shd w:val="clear" w:color="auto" w:fill="auto"/>
            <w:noWrap/>
            <w:vAlign w:val="bottom"/>
            <w:hideMark/>
          </w:tcPr>
          <w:p w14:paraId="0C4D26A8" w14:textId="77777777" w:rsidR="0080166B" w:rsidRPr="00141C43" w:rsidRDefault="0080166B" w:rsidP="0080166B">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120.404.912 </w:t>
            </w:r>
          </w:p>
        </w:tc>
        <w:tc>
          <w:tcPr>
            <w:tcW w:w="1380" w:type="dxa"/>
            <w:tcBorders>
              <w:top w:val="single" w:sz="4" w:space="0" w:color="auto"/>
              <w:left w:val="nil"/>
              <w:bottom w:val="single" w:sz="4" w:space="0" w:color="auto"/>
              <w:right w:val="nil"/>
            </w:tcBorders>
            <w:shd w:val="clear" w:color="auto" w:fill="auto"/>
            <w:noWrap/>
            <w:vAlign w:val="bottom"/>
            <w:hideMark/>
          </w:tcPr>
          <w:p w14:paraId="06D0B51B" w14:textId="77777777" w:rsidR="0080166B" w:rsidRPr="00141C43" w:rsidRDefault="0080166B" w:rsidP="0080166B">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42.634.737 </w:t>
            </w:r>
          </w:p>
        </w:tc>
        <w:tc>
          <w:tcPr>
            <w:tcW w:w="1500" w:type="dxa"/>
            <w:tcBorders>
              <w:top w:val="single" w:sz="4" w:space="0" w:color="auto"/>
              <w:left w:val="nil"/>
              <w:bottom w:val="single" w:sz="4" w:space="0" w:color="auto"/>
              <w:right w:val="nil"/>
            </w:tcBorders>
            <w:shd w:val="clear" w:color="auto" w:fill="auto"/>
            <w:noWrap/>
            <w:vAlign w:val="bottom"/>
            <w:hideMark/>
          </w:tcPr>
          <w:p w14:paraId="0FC07785" w14:textId="77777777" w:rsidR="0080166B" w:rsidRPr="00141C43" w:rsidRDefault="0080166B" w:rsidP="0080166B">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326.249.480 </w:t>
            </w:r>
          </w:p>
        </w:tc>
      </w:tr>
    </w:tbl>
    <w:p w14:paraId="0C6F2A83" w14:textId="77777777" w:rsidR="00D55EBA" w:rsidRDefault="00D55EBA" w:rsidP="006B7163">
      <w:pPr>
        <w:spacing w:before="120" w:after="120" w:line="360" w:lineRule="auto"/>
        <w:ind w:firstLine="709"/>
        <w:jc w:val="both"/>
        <w:rPr>
          <w:rFonts w:ascii="Times New Roman" w:hAnsi="Times New Roman" w:cs="Times New Roman"/>
          <w:sz w:val="24"/>
          <w:szCs w:val="24"/>
        </w:rPr>
      </w:pPr>
    </w:p>
    <w:p w14:paraId="2F731D4E" w14:textId="426DE175" w:rsidR="006B7163" w:rsidRPr="00141C43" w:rsidRDefault="007E54EA" w:rsidP="006B7163">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Foram</w:t>
      </w:r>
      <w:r w:rsidR="006B7163" w:rsidRPr="00141C43">
        <w:rPr>
          <w:rFonts w:ascii="Times New Roman" w:hAnsi="Times New Roman" w:cs="Times New Roman"/>
          <w:sz w:val="24"/>
          <w:szCs w:val="24"/>
        </w:rPr>
        <w:t xml:space="preserve"> coletadas </w:t>
      </w:r>
      <w:r w:rsidR="007927D7" w:rsidRPr="00141C43">
        <w:rPr>
          <w:rFonts w:ascii="Times New Roman" w:hAnsi="Times New Roman" w:cs="Times New Roman"/>
          <w:sz w:val="24"/>
          <w:szCs w:val="24"/>
        </w:rPr>
        <w:t xml:space="preserve">as demonstrações financeiras e </w:t>
      </w:r>
      <w:r w:rsidR="006B7163" w:rsidRPr="00141C43">
        <w:rPr>
          <w:rFonts w:ascii="Times New Roman" w:hAnsi="Times New Roman" w:cs="Times New Roman"/>
          <w:sz w:val="24"/>
          <w:szCs w:val="24"/>
        </w:rPr>
        <w:t xml:space="preserve">notas explicativas das </w:t>
      </w:r>
      <w:r w:rsidR="003E5999" w:rsidRPr="00141C43">
        <w:rPr>
          <w:rFonts w:ascii="Times New Roman" w:hAnsi="Times New Roman" w:cs="Times New Roman"/>
          <w:sz w:val="24"/>
          <w:szCs w:val="24"/>
        </w:rPr>
        <w:t>seguradoras</w:t>
      </w:r>
      <w:r w:rsidR="006B7163" w:rsidRPr="00141C43">
        <w:rPr>
          <w:rFonts w:ascii="Times New Roman" w:hAnsi="Times New Roman" w:cs="Times New Roman"/>
          <w:sz w:val="24"/>
          <w:szCs w:val="24"/>
        </w:rPr>
        <w:t xml:space="preserve"> listadas na </w:t>
      </w:r>
      <w:proofErr w:type="spellStart"/>
      <w:r w:rsidR="006B7163" w:rsidRPr="00141C43">
        <w:rPr>
          <w:rFonts w:ascii="Times New Roman" w:hAnsi="Times New Roman" w:cs="Times New Roman"/>
          <w:sz w:val="24"/>
          <w:szCs w:val="24"/>
        </w:rPr>
        <w:t>BM&amp;FBovespa</w:t>
      </w:r>
      <w:proofErr w:type="spellEnd"/>
      <w:r w:rsidR="006B7163" w:rsidRPr="00141C43">
        <w:rPr>
          <w:rFonts w:ascii="Times New Roman" w:hAnsi="Times New Roman" w:cs="Times New Roman"/>
          <w:sz w:val="24"/>
          <w:szCs w:val="24"/>
        </w:rPr>
        <w:t>,</w:t>
      </w:r>
      <w:r w:rsidRPr="00141C43">
        <w:rPr>
          <w:rFonts w:ascii="Times New Roman" w:hAnsi="Times New Roman" w:cs="Times New Roman"/>
          <w:sz w:val="24"/>
          <w:szCs w:val="24"/>
        </w:rPr>
        <w:t xml:space="preserve"> junt</w:t>
      </w:r>
      <w:r w:rsidR="001E6D2F" w:rsidRPr="00141C43">
        <w:rPr>
          <w:rFonts w:ascii="Times New Roman" w:hAnsi="Times New Roman" w:cs="Times New Roman"/>
          <w:sz w:val="24"/>
          <w:szCs w:val="24"/>
        </w:rPr>
        <w:t xml:space="preserve">amente com </w:t>
      </w:r>
      <w:r w:rsidRPr="00141C43">
        <w:rPr>
          <w:rFonts w:ascii="Times New Roman" w:hAnsi="Times New Roman" w:cs="Times New Roman"/>
          <w:sz w:val="24"/>
          <w:szCs w:val="24"/>
        </w:rPr>
        <w:t>as normas divulgadas pela</w:t>
      </w:r>
      <w:r w:rsidR="006B7163" w:rsidRPr="00141C43">
        <w:rPr>
          <w:rFonts w:ascii="Times New Roman" w:hAnsi="Times New Roman" w:cs="Times New Roman"/>
          <w:sz w:val="24"/>
          <w:szCs w:val="24"/>
        </w:rPr>
        <w:t xml:space="preserve"> </w:t>
      </w:r>
      <w:r w:rsidRPr="00141C43">
        <w:rPr>
          <w:rFonts w:ascii="Times New Roman" w:hAnsi="Times New Roman" w:cs="Times New Roman"/>
          <w:sz w:val="24"/>
          <w:szCs w:val="24"/>
        </w:rPr>
        <w:t xml:space="preserve">Susep, </w:t>
      </w:r>
      <w:r w:rsidR="001E6D2F" w:rsidRPr="00141C43">
        <w:rPr>
          <w:rFonts w:ascii="Times New Roman" w:hAnsi="Times New Roman" w:cs="Times New Roman"/>
          <w:sz w:val="24"/>
          <w:szCs w:val="24"/>
        </w:rPr>
        <w:t xml:space="preserve">pelo </w:t>
      </w:r>
      <w:r w:rsidR="006B7163" w:rsidRPr="00141C43">
        <w:rPr>
          <w:rFonts w:ascii="Times New Roman" w:hAnsi="Times New Roman" w:cs="Times New Roman"/>
          <w:sz w:val="24"/>
          <w:szCs w:val="24"/>
        </w:rPr>
        <w:t>Bacen</w:t>
      </w:r>
      <w:r w:rsidR="003E5999" w:rsidRPr="00141C43">
        <w:rPr>
          <w:rFonts w:ascii="Times New Roman" w:hAnsi="Times New Roman" w:cs="Times New Roman"/>
          <w:sz w:val="24"/>
          <w:szCs w:val="24"/>
        </w:rPr>
        <w:t xml:space="preserve">, </w:t>
      </w:r>
      <w:r w:rsidR="001E6D2F" w:rsidRPr="00141C43">
        <w:rPr>
          <w:rFonts w:ascii="Times New Roman" w:hAnsi="Times New Roman" w:cs="Times New Roman"/>
          <w:sz w:val="24"/>
          <w:szCs w:val="24"/>
        </w:rPr>
        <w:t xml:space="preserve">pela </w:t>
      </w:r>
      <w:r w:rsidRPr="00141C43">
        <w:rPr>
          <w:rFonts w:ascii="Times New Roman" w:hAnsi="Times New Roman" w:cs="Times New Roman"/>
          <w:sz w:val="24"/>
          <w:szCs w:val="24"/>
        </w:rPr>
        <w:t>CVM,</w:t>
      </w:r>
      <w:r w:rsidR="001E6D2F" w:rsidRPr="00141C43">
        <w:rPr>
          <w:rFonts w:ascii="Times New Roman" w:hAnsi="Times New Roman" w:cs="Times New Roman"/>
          <w:sz w:val="24"/>
          <w:szCs w:val="24"/>
        </w:rPr>
        <w:t xml:space="preserve"> pelo</w:t>
      </w:r>
      <w:r w:rsidRPr="00141C43">
        <w:rPr>
          <w:rFonts w:ascii="Times New Roman" w:hAnsi="Times New Roman" w:cs="Times New Roman"/>
          <w:sz w:val="24"/>
          <w:szCs w:val="24"/>
        </w:rPr>
        <w:t xml:space="preserve"> </w:t>
      </w:r>
      <w:r w:rsidR="006B7163" w:rsidRPr="00141C43">
        <w:rPr>
          <w:rFonts w:ascii="Times New Roman" w:hAnsi="Times New Roman" w:cs="Times New Roman"/>
          <w:sz w:val="24"/>
          <w:szCs w:val="24"/>
        </w:rPr>
        <w:t>CPC e pelo IASB. No caso do IASB</w:t>
      </w:r>
      <w:r w:rsidR="001E6D2F" w:rsidRPr="00141C43">
        <w:rPr>
          <w:rFonts w:ascii="Times New Roman" w:hAnsi="Times New Roman" w:cs="Times New Roman"/>
          <w:sz w:val="24"/>
          <w:szCs w:val="24"/>
        </w:rPr>
        <w:t>,</w:t>
      </w:r>
      <w:r w:rsidR="006B7163" w:rsidRPr="00141C43">
        <w:rPr>
          <w:rFonts w:ascii="Times New Roman" w:hAnsi="Times New Roman" w:cs="Times New Roman"/>
          <w:sz w:val="24"/>
          <w:szCs w:val="24"/>
        </w:rPr>
        <w:t xml:space="preserve"> a recente norma publicada em 24 de julho de 2014</w:t>
      </w:r>
      <w:r w:rsidR="001E6D2F" w:rsidRPr="00141C43">
        <w:rPr>
          <w:rFonts w:ascii="Times New Roman" w:hAnsi="Times New Roman" w:cs="Times New Roman"/>
          <w:sz w:val="24"/>
          <w:szCs w:val="24"/>
        </w:rPr>
        <w:t>,</w:t>
      </w:r>
      <w:r w:rsidR="006B7163" w:rsidRPr="00141C43">
        <w:rPr>
          <w:rFonts w:ascii="Times New Roman" w:hAnsi="Times New Roman" w:cs="Times New Roman"/>
          <w:sz w:val="24"/>
          <w:szCs w:val="24"/>
        </w:rPr>
        <w:t xml:space="preserve"> com o início de vigência em 01 </w:t>
      </w:r>
      <w:r w:rsidRPr="00141C43">
        <w:rPr>
          <w:rFonts w:ascii="Times New Roman" w:hAnsi="Times New Roman" w:cs="Times New Roman"/>
          <w:sz w:val="24"/>
          <w:szCs w:val="24"/>
        </w:rPr>
        <w:t>de janeiro de 2015,</w:t>
      </w:r>
      <w:r w:rsidR="006B7163" w:rsidRPr="00141C43">
        <w:rPr>
          <w:rFonts w:ascii="Times New Roman" w:hAnsi="Times New Roman" w:cs="Times New Roman"/>
          <w:sz w:val="24"/>
          <w:szCs w:val="24"/>
        </w:rPr>
        <w:t xml:space="preserve"> porém</w:t>
      </w:r>
      <w:r w:rsidR="001E6D2F" w:rsidRPr="00141C43">
        <w:rPr>
          <w:rFonts w:ascii="Times New Roman" w:hAnsi="Times New Roman" w:cs="Times New Roman"/>
          <w:sz w:val="24"/>
          <w:szCs w:val="24"/>
        </w:rPr>
        <w:t>,</w:t>
      </w:r>
      <w:r w:rsidR="006B7163" w:rsidRPr="00141C43">
        <w:rPr>
          <w:rFonts w:ascii="Times New Roman" w:hAnsi="Times New Roman" w:cs="Times New Roman"/>
          <w:sz w:val="24"/>
          <w:szCs w:val="24"/>
        </w:rPr>
        <w:t xml:space="preserve"> só tendo sua obrigatoriedade em 01 de janeiro de 2018.</w:t>
      </w:r>
    </w:p>
    <w:p w14:paraId="7E8E4DBF" w14:textId="26332043" w:rsidR="00FD7653" w:rsidRPr="00141C43" w:rsidRDefault="007E54EA" w:rsidP="00FD7653">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Como a obrigatoriedade de utilizar os critérios de classificação da nova norma </w:t>
      </w:r>
      <w:r w:rsidR="009552CC" w:rsidRPr="00141C43">
        <w:rPr>
          <w:rFonts w:ascii="Times New Roman" w:hAnsi="Times New Roman" w:cs="Times New Roman"/>
          <w:sz w:val="24"/>
          <w:szCs w:val="24"/>
        </w:rPr>
        <w:t>será</w:t>
      </w:r>
      <w:r w:rsidRPr="00141C43">
        <w:rPr>
          <w:rFonts w:ascii="Times New Roman" w:hAnsi="Times New Roman" w:cs="Times New Roman"/>
          <w:sz w:val="24"/>
          <w:szCs w:val="24"/>
        </w:rPr>
        <w:t xml:space="preserve"> para 1 de janeiro de 2018, foi </w:t>
      </w:r>
      <w:r w:rsidR="009218E9" w:rsidRPr="00141C43">
        <w:rPr>
          <w:rFonts w:ascii="Times New Roman" w:hAnsi="Times New Roman" w:cs="Times New Roman"/>
          <w:sz w:val="24"/>
          <w:szCs w:val="24"/>
        </w:rPr>
        <w:t>empregada</w:t>
      </w:r>
      <w:r w:rsidR="00941376" w:rsidRPr="00141C43">
        <w:rPr>
          <w:rFonts w:ascii="Times New Roman" w:hAnsi="Times New Roman" w:cs="Times New Roman"/>
          <w:sz w:val="24"/>
          <w:szCs w:val="24"/>
        </w:rPr>
        <w:t xml:space="preserve"> a estimativa com estrutura a termo de taxa de juros divulgada pela </w:t>
      </w:r>
      <w:proofErr w:type="spellStart"/>
      <w:r w:rsidR="00941376" w:rsidRPr="00141C43">
        <w:rPr>
          <w:rFonts w:ascii="Times New Roman" w:hAnsi="Times New Roman" w:cs="Times New Roman"/>
          <w:sz w:val="24"/>
          <w:szCs w:val="24"/>
        </w:rPr>
        <w:t>Anbima</w:t>
      </w:r>
      <w:proofErr w:type="spellEnd"/>
      <w:r w:rsidR="00941376" w:rsidRPr="00141C43">
        <w:rPr>
          <w:rFonts w:ascii="Times New Roman" w:hAnsi="Times New Roman" w:cs="Times New Roman"/>
          <w:sz w:val="24"/>
          <w:szCs w:val="24"/>
        </w:rPr>
        <w:t xml:space="preserve"> e utilizada pela Susep</w:t>
      </w:r>
      <w:r w:rsidR="009218E9" w:rsidRPr="00141C43">
        <w:rPr>
          <w:rFonts w:ascii="Times New Roman" w:hAnsi="Times New Roman" w:cs="Times New Roman"/>
          <w:sz w:val="24"/>
          <w:szCs w:val="24"/>
        </w:rPr>
        <w:t>,</w:t>
      </w:r>
      <w:r w:rsidR="00941376" w:rsidRPr="00141C43">
        <w:rPr>
          <w:rFonts w:ascii="Times New Roman" w:hAnsi="Times New Roman" w:cs="Times New Roman"/>
          <w:sz w:val="24"/>
          <w:szCs w:val="24"/>
        </w:rPr>
        <w:t xml:space="preserve"> </w:t>
      </w:r>
      <w:r w:rsidR="009218E9" w:rsidRPr="00141C43">
        <w:rPr>
          <w:rFonts w:ascii="Times New Roman" w:hAnsi="Times New Roman" w:cs="Times New Roman"/>
          <w:sz w:val="24"/>
          <w:szCs w:val="24"/>
        </w:rPr>
        <w:t>visando aos</w:t>
      </w:r>
      <w:r w:rsidR="002B549D" w:rsidRPr="00141C43">
        <w:rPr>
          <w:rFonts w:ascii="Times New Roman" w:hAnsi="Times New Roman" w:cs="Times New Roman"/>
          <w:sz w:val="24"/>
          <w:szCs w:val="24"/>
        </w:rPr>
        <w:t xml:space="preserve"> cálculos de solvência sobre as obrigações </w:t>
      </w:r>
      <w:r w:rsidR="009218E9" w:rsidRPr="00141C43">
        <w:rPr>
          <w:rFonts w:ascii="Times New Roman" w:hAnsi="Times New Roman" w:cs="Times New Roman"/>
          <w:sz w:val="24"/>
          <w:szCs w:val="24"/>
        </w:rPr>
        <w:t>da</w:t>
      </w:r>
      <w:r w:rsidR="002B549D" w:rsidRPr="00141C43">
        <w:rPr>
          <w:rFonts w:ascii="Times New Roman" w:hAnsi="Times New Roman" w:cs="Times New Roman"/>
          <w:sz w:val="24"/>
          <w:szCs w:val="24"/>
        </w:rPr>
        <w:t xml:space="preserve"> seguradora </w:t>
      </w:r>
      <w:r w:rsidR="00021603" w:rsidRPr="00141C43">
        <w:rPr>
          <w:rFonts w:ascii="Times New Roman" w:hAnsi="Times New Roman" w:cs="Times New Roman"/>
          <w:sz w:val="24"/>
          <w:szCs w:val="24"/>
        </w:rPr>
        <w:t>(Neves</w:t>
      </w:r>
      <w:r w:rsidR="007B1784" w:rsidRPr="00141C43">
        <w:rPr>
          <w:rFonts w:ascii="Times New Roman" w:hAnsi="Times New Roman" w:cs="Times New Roman"/>
          <w:sz w:val="24"/>
          <w:szCs w:val="24"/>
        </w:rPr>
        <w:t xml:space="preserve">, Melo, Franklin Jr. &amp; Duarte, 2011), demonstrando a curva </w:t>
      </w:r>
      <w:r w:rsidR="007B1784" w:rsidRPr="00141C43">
        <w:rPr>
          <w:rFonts w:ascii="Times New Roman" w:hAnsi="Times New Roman" w:cs="Times New Roman"/>
          <w:sz w:val="24"/>
          <w:szCs w:val="24"/>
        </w:rPr>
        <w:lastRenderedPageBreak/>
        <w:t>de juros</w:t>
      </w:r>
      <w:r w:rsidR="00E43D1B" w:rsidRPr="00141C43">
        <w:rPr>
          <w:rFonts w:ascii="Times New Roman" w:hAnsi="Times New Roman" w:cs="Times New Roman"/>
          <w:sz w:val="24"/>
          <w:szCs w:val="24"/>
        </w:rPr>
        <w:t xml:space="preserve">, </w:t>
      </w:r>
      <w:r w:rsidR="00A25138" w:rsidRPr="00141C43">
        <w:rPr>
          <w:rFonts w:ascii="Times New Roman" w:hAnsi="Times New Roman" w:cs="Times New Roman"/>
          <w:sz w:val="24"/>
          <w:szCs w:val="24"/>
        </w:rPr>
        <w:t>segundo</w:t>
      </w:r>
      <w:r w:rsidR="00E43D1B" w:rsidRPr="00141C43">
        <w:rPr>
          <w:rFonts w:ascii="Times New Roman" w:hAnsi="Times New Roman" w:cs="Times New Roman"/>
          <w:sz w:val="24"/>
          <w:szCs w:val="24"/>
        </w:rPr>
        <w:t xml:space="preserve"> gráfico adiante.</w:t>
      </w:r>
      <w:r w:rsidR="007B1784" w:rsidRPr="00141C43">
        <w:rPr>
          <w:rFonts w:ascii="Times New Roman" w:hAnsi="Times New Roman" w:cs="Times New Roman"/>
          <w:sz w:val="24"/>
          <w:szCs w:val="24"/>
        </w:rPr>
        <w:t xml:space="preserve"> </w:t>
      </w:r>
      <w:r w:rsidR="00FD7653" w:rsidRPr="00141C43">
        <w:rPr>
          <w:rFonts w:ascii="Times New Roman" w:hAnsi="Times New Roman" w:cs="Times New Roman"/>
          <w:sz w:val="24"/>
          <w:szCs w:val="24"/>
        </w:rPr>
        <w:t xml:space="preserve">Para </w:t>
      </w:r>
      <w:r w:rsidR="00E43D1B" w:rsidRPr="00141C43">
        <w:rPr>
          <w:rFonts w:ascii="Times New Roman" w:hAnsi="Times New Roman" w:cs="Times New Roman"/>
          <w:sz w:val="24"/>
          <w:szCs w:val="24"/>
        </w:rPr>
        <w:t xml:space="preserve">viabilizar </w:t>
      </w:r>
      <w:r w:rsidR="00FD7653" w:rsidRPr="00141C43">
        <w:rPr>
          <w:rFonts w:ascii="Times New Roman" w:hAnsi="Times New Roman" w:cs="Times New Roman"/>
          <w:sz w:val="24"/>
          <w:szCs w:val="24"/>
        </w:rPr>
        <w:t>a projeção</w:t>
      </w:r>
      <w:r w:rsidR="00E43D1B" w:rsidRPr="00141C43">
        <w:rPr>
          <w:rFonts w:ascii="Times New Roman" w:hAnsi="Times New Roman" w:cs="Times New Roman"/>
          <w:sz w:val="24"/>
          <w:szCs w:val="24"/>
        </w:rPr>
        <w:t>,</w:t>
      </w:r>
      <w:r w:rsidR="00FD7653" w:rsidRPr="00141C43">
        <w:rPr>
          <w:rFonts w:ascii="Times New Roman" w:hAnsi="Times New Roman" w:cs="Times New Roman"/>
          <w:sz w:val="24"/>
          <w:szCs w:val="24"/>
        </w:rPr>
        <w:t xml:space="preserve"> </w:t>
      </w:r>
      <w:r w:rsidR="00E43D1B" w:rsidRPr="00141C43">
        <w:rPr>
          <w:rFonts w:ascii="Times New Roman" w:hAnsi="Times New Roman" w:cs="Times New Roman"/>
          <w:sz w:val="24"/>
          <w:szCs w:val="24"/>
        </w:rPr>
        <w:t>foram empenhadas</w:t>
      </w:r>
      <w:r w:rsidR="00FD7653" w:rsidRPr="00141C43">
        <w:rPr>
          <w:rFonts w:ascii="Times New Roman" w:hAnsi="Times New Roman" w:cs="Times New Roman"/>
          <w:sz w:val="24"/>
          <w:szCs w:val="24"/>
        </w:rPr>
        <w:t xml:space="preserve"> as perspectivas futuras da taxa de juros </w:t>
      </w:r>
      <w:r w:rsidR="00037EEA" w:rsidRPr="00141C43">
        <w:rPr>
          <w:rFonts w:ascii="Times New Roman" w:hAnsi="Times New Roman" w:cs="Times New Roman"/>
          <w:sz w:val="24"/>
          <w:szCs w:val="24"/>
        </w:rPr>
        <w:t>do país</w:t>
      </w:r>
      <w:r w:rsidR="00A25138" w:rsidRPr="00141C43">
        <w:rPr>
          <w:rFonts w:ascii="Times New Roman" w:hAnsi="Times New Roman" w:cs="Times New Roman"/>
          <w:sz w:val="24"/>
          <w:szCs w:val="24"/>
        </w:rPr>
        <w:t>,</w:t>
      </w:r>
      <w:r w:rsidR="00037EEA" w:rsidRPr="00141C43">
        <w:rPr>
          <w:rFonts w:ascii="Times New Roman" w:hAnsi="Times New Roman" w:cs="Times New Roman"/>
          <w:sz w:val="24"/>
          <w:szCs w:val="24"/>
        </w:rPr>
        <w:t xml:space="preserve"> estimadas em 31 de dezembro de 2015</w:t>
      </w:r>
      <w:r w:rsidR="00E43D1B" w:rsidRPr="00141C43">
        <w:rPr>
          <w:rFonts w:ascii="Times New Roman" w:hAnsi="Times New Roman" w:cs="Times New Roman"/>
          <w:sz w:val="24"/>
          <w:szCs w:val="24"/>
        </w:rPr>
        <w:t>,</w:t>
      </w:r>
      <w:r w:rsidR="00037EEA" w:rsidRPr="00141C43">
        <w:rPr>
          <w:rFonts w:ascii="Times New Roman" w:hAnsi="Times New Roman" w:cs="Times New Roman"/>
          <w:sz w:val="24"/>
          <w:szCs w:val="24"/>
        </w:rPr>
        <w:t xml:space="preserve"> e a divulgação de 30 de setembro de 2016</w:t>
      </w:r>
      <w:r w:rsidR="00CF0965" w:rsidRPr="00141C43">
        <w:rPr>
          <w:rFonts w:ascii="Times New Roman" w:hAnsi="Times New Roman" w:cs="Times New Roman"/>
          <w:sz w:val="24"/>
          <w:szCs w:val="24"/>
        </w:rPr>
        <w:t>,</w:t>
      </w:r>
      <w:r w:rsidR="00037EEA" w:rsidRPr="00141C43">
        <w:rPr>
          <w:rFonts w:ascii="Times New Roman" w:hAnsi="Times New Roman" w:cs="Times New Roman"/>
          <w:sz w:val="24"/>
          <w:szCs w:val="24"/>
        </w:rPr>
        <w:t xml:space="preserve"> para </w:t>
      </w:r>
      <w:r w:rsidR="00A25138" w:rsidRPr="00141C43">
        <w:rPr>
          <w:rFonts w:ascii="Times New Roman" w:hAnsi="Times New Roman" w:cs="Times New Roman"/>
          <w:sz w:val="24"/>
          <w:szCs w:val="24"/>
        </w:rPr>
        <w:t xml:space="preserve">aferir </w:t>
      </w:r>
      <w:r w:rsidR="00037EEA" w:rsidRPr="00141C43">
        <w:rPr>
          <w:rFonts w:ascii="Times New Roman" w:hAnsi="Times New Roman" w:cs="Times New Roman"/>
          <w:sz w:val="24"/>
          <w:szCs w:val="24"/>
        </w:rPr>
        <w:t>o impacto nas seguradoras</w:t>
      </w:r>
      <w:r w:rsidR="00E43D1B" w:rsidRPr="00141C43">
        <w:rPr>
          <w:rFonts w:ascii="Times New Roman" w:hAnsi="Times New Roman" w:cs="Times New Roman"/>
          <w:sz w:val="24"/>
          <w:szCs w:val="24"/>
        </w:rPr>
        <w:t>,</w:t>
      </w:r>
      <w:r w:rsidR="00037EEA" w:rsidRPr="00141C43">
        <w:rPr>
          <w:rFonts w:ascii="Times New Roman" w:hAnsi="Times New Roman" w:cs="Times New Roman"/>
          <w:sz w:val="24"/>
          <w:szCs w:val="24"/>
        </w:rPr>
        <w:t xml:space="preserve"> </w:t>
      </w:r>
      <w:r w:rsidR="00320048" w:rsidRPr="00141C43">
        <w:rPr>
          <w:rFonts w:ascii="Times New Roman" w:hAnsi="Times New Roman" w:cs="Times New Roman"/>
          <w:sz w:val="24"/>
          <w:szCs w:val="24"/>
        </w:rPr>
        <w:t>em decorrência de</w:t>
      </w:r>
      <w:r w:rsidR="00037EEA" w:rsidRPr="00141C43">
        <w:rPr>
          <w:rFonts w:ascii="Times New Roman" w:hAnsi="Times New Roman" w:cs="Times New Roman"/>
          <w:sz w:val="24"/>
          <w:szCs w:val="24"/>
        </w:rPr>
        <w:t xml:space="preserve"> mudança das normas.</w:t>
      </w:r>
    </w:p>
    <w:p w14:paraId="344996CB" w14:textId="679D115F" w:rsidR="006B7163" w:rsidRPr="00141C43" w:rsidRDefault="00E43D1B" w:rsidP="00932B70">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Segue</w:t>
      </w:r>
      <w:r w:rsidR="00037EEA" w:rsidRPr="00141C43">
        <w:rPr>
          <w:rFonts w:ascii="Times New Roman" w:hAnsi="Times New Roman" w:cs="Times New Roman"/>
          <w:sz w:val="24"/>
          <w:szCs w:val="24"/>
        </w:rPr>
        <w:t xml:space="preserve"> a comparação entre as estimativas divulgada</w:t>
      </w:r>
      <w:r w:rsidRPr="00141C43">
        <w:rPr>
          <w:rFonts w:ascii="Times New Roman" w:hAnsi="Times New Roman" w:cs="Times New Roman"/>
          <w:sz w:val="24"/>
          <w:szCs w:val="24"/>
        </w:rPr>
        <w:t>s</w:t>
      </w:r>
      <w:r w:rsidR="00037EEA" w:rsidRPr="00141C43">
        <w:rPr>
          <w:rFonts w:ascii="Times New Roman" w:hAnsi="Times New Roman" w:cs="Times New Roman"/>
          <w:sz w:val="24"/>
          <w:szCs w:val="24"/>
        </w:rPr>
        <w:t xml:space="preserve"> ao mercado para estipular suas obrigações e </w:t>
      </w:r>
      <w:r w:rsidRPr="00141C43">
        <w:rPr>
          <w:rFonts w:ascii="Times New Roman" w:hAnsi="Times New Roman" w:cs="Times New Roman"/>
          <w:sz w:val="24"/>
          <w:szCs w:val="24"/>
        </w:rPr>
        <w:t>averiguar o poder de cobertura d</w:t>
      </w:r>
      <w:r w:rsidR="00037EEA" w:rsidRPr="00141C43">
        <w:rPr>
          <w:rFonts w:ascii="Times New Roman" w:hAnsi="Times New Roman" w:cs="Times New Roman"/>
          <w:sz w:val="24"/>
          <w:szCs w:val="24"/>
        </w:rPr>
        <w:t>os ativos financeiros (TVM)</w:t>
      </w:r>
      <w:r w:rsidR="00320048" w:rsidRPr="00141C43">
        <w:rPr>
          <w:rFonts w:ascii="Times New Roman" w:hAnsi="Times New Roman" w:cs="Times New Roman"/>
          <w:sz w:val="24"/>
          <w:szCs w:val="24"/>
        </w:rPr>
        <w:t>,</w:t>
      </w:r>
      <w:r w:rsidR="00037EEA" w:rsidRPr="00141C43">
        <w:rPr>
          <w:rFonts w:ascii="Times New Roman" w:hAnsi="Times New Roman" w:cs="Times New Roman"/>
          <w:sz w:val="24"/>
          <w:szCs w:val="24"/>
        </w:rPr>
        <w:t xml:space="preserve"> </w:t>
      </w:r>
      <w:r w:rsidRPr="00141C43">
        <w:rPr>
          <w:rFonts w:ascii="Times New Roman" w:hAnsi="Times New Roman" w:cs="Times New Roman"/>
          <w:sz w:val="24"/>
          <w:szCs w:val="24"/>
        </w:rPr>
        <w:t>com as</w:t>
      </w:r>
      <w:r w:rsidR="00037EEA" w:rsidRPr="00141C43">
        <w:rPr>
          <w:rFonts w:ascii="Times New Roman" w:hAnsi="Times New Roman" w:cs="Times New Roman"/>
          <w:sz w:val="24"/>
          <w:szCs w:val="24"/>
        </w:rPr>
        <w:t xml:space="preserve"> obrigações pelo fluxo de caixa</w:t>
      </w:r>
      <w:r w:rsidRPr="00141C43">
        <w:rPr>
          <w:rFonts w:ascii="Times New Roman" w:hAnsi="Times New Roman" w:cs="Times New Roman"/>
          <w:sz w:val="24"/>
          <w:szCs w:val="24"/>
        </w:rPr>
        <w:t>:</w:t>
      </w:r>
    </w:p>
    <w:p w14:paraId="062AADB6" w14:textId="77777777" w:rsidR="003543DD" w:rsidRPr="00141C43" w:rsidRDefault="003543DD" w:rsidP="00932B70">
      <w:pPr>
        <w:spacing w:before="120" w:after="120" w:line="36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Gráfico 1 – Curva de taxa de juros estimadas - ETTJ</w:t>
      </w:r>
    </w:p>
    <w:p w14:paraId="2E56C8EE" w14:textId="77777777" w:rsidR="00037EEA" w:rsidRPr="00141C43" w:rsidRDefault="003543DD" w:rsidP="00CB0FDF">
      <w:pPr>
        <w:tabs>
          <w:tab w:val="left" w:pos="2835"/>
        </w:tabs>
        <w:spacing w:before="120" w:after="120" w:line="360" w:lineRule="auto"/>
        <w:jc w:val="both"/>
        <w:rPr>
          <w:rFonts w:ascii="Times New Roman" w:hAnsi="Times New Roman" w:cs="Times New Roman"/>
          <w:sz w:val="24"/>
          <w:szCs w:val="24"/>
        </w:rPr>
      </w:pPr>
      <w:r w:rsidRPr="00141C43">
        <w:rPr>
          <w:noProof/>
          <w:lang w:eastAsia="pt-BR"/>
        </w:rPr>
        <w:drawing>
          <wp:inline distT="0" distB="0" distL="0" distR="0" wp14:anchorId="1AD1B266" wp14:editId="21789F39">
            <wp:extent cx="4400550" cy="2581275"/>
            <wp:effectExtent l="0" t="0" r="0" b="9525"/>
            <wp:docPr id="26" name="Gráfico 2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591F09-1732-4C48-AEE4-8C6C8D3E7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B5A6C8" w14:textId="77777777" w:rsidR="005269C2" w:rsidRDefault="005269C2" w:rsidP="005269C2">
      <w:pPr>
        <w:spacing w:before="120" w:after="120" w:line="240" w:lineRule="auto"/>
        <w:jc w:val="both"/>
        <w:rPr>
          <w:rFonts w:ascii="Times New Roman" w:hAnsi="Times New Roman" w:cs="Times New Roman"/>
          <w:sz w:val="20"/>
          <w:szCs w:val="20"/>
        </w:rPr>
      </w:pPr>
      <w:r w:rsidRPr="006E77BC">
        <w:rPr>
          <w:rFonts w:ascii="Times New Roman" w:hAnsi="Times New Roman" w:cs="Times New Roman"/>
          <w:i/>
          <w:sz w:val="20"/>
          <w:szCs w:val="20"/>
        </w:rPr>
        <w:t>Nota</w:t>
      </w:r>
      <w:r>
        <w:rPr>
          <w:rFonts w:ascii="Times New Roman" w:hAnsi="Times New Roman" w:cs="Times New Roman"/>
          <w:sz w:val="24"/>
          <w:szCs w:val="24"/>
        </w:rPr>
        <w:t xml:space="preserve">. </w:t>
      </w:r>
      <w:r>
        <w:rPr>
          <w:rFonts w:ascii="Times New Roman" w:hAnsi="Times New Roman" w:cs="Times New Roman"/>
          <w:sz w:val="20"/>
          <w:szCs w:val="20"/>
        </w:rPr>
        <w:t>Fonte</w:t>
      </w:r>
      <w:r w:rsidRPr="006E77BC">
        <w:rPr>
          <w:rFonts w:ascii="Times New Roman" w:hAnsi="Times New Roman" w:cs="Times New Roman"/>
          <w:sz w:val="24"/>
          <w:szCs w:val="24"/>
        </w:rPr>
        <w:t>:</w:t>
      </w:r>
      <w:r w:rsidRPr="006E77BC">
        <w:rPr>
          <w:rFonts w:ascii="Times New Roman" w:hAnsi="Times New Roman" w:cs="Times New Roman"/>
          <w:sz w:val="20"/>
          <w:szCs w:val="20"/>
        </w:rPr>
        <w:t xml:space="preserve"> Adaptado de “Modelo de interpolação e extrapolação da ETTJ”, de Superintendência de Seguros Privados, (2015), Recuperado de http://www.susep.gov.br/setores-susep/cgsoa/coris/dicem/modelo-de-interpolacao-e-extrapolacao-da-ettj; “Modelo de interpolação e extrapolação da ETTJ “, de Superintendência de Seguros Privados, (2016), Recuperado de </w:t>
      </w:r>
      <w:hyperlink r:id="rId9" w:history="1">
        <w:r w:rsidRPr="006E77BC">
          <w:rPr>
            <w:rStyle w:val="Hyperlink"/>
            <w:rFonts w:ascii="Times New Roman" w:hAnsi="Times New Roman" w:cs="Times New Roman"/>
            <w:sz w:val="20"/>
            <w:szCs w:val="20"/>
          </w:rPr>
          <w:t>http://www.susep.gov.br/setores-susep/cgsoa/coris/dicem/modelo-de-interpolacao-e-extrapolacao-da-ettj</w:t>
        </w:r>
      </w:hyperlink>
    </w:p>
    <w:p w14:paraId="5766C252" w14:textId="1DEA6702" w:rsidR="008A3A01" w:rsidRPr="00141C43" w:rsidRDefault="002D1EAF" w:rsidP="007D17E6">
      <w:pPr>
        <w:spacing w:before="240" w:after="24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Observa-se que a estimativa do fechamento de 2015 estava com uma redução de crédito ao mercado</w:t>
      </w:r>
      <w:r w:rsidR="00B173ED" w:rsidRPr="00141C43">
        <w:rPr>
          <w:rFonts w:ascii="Times New Roman" w:hAnsi="Times New Roman" w:cs="Times New Roman"/>
          <w:sz w:val="24"/>
          <w:szCs w:val="24"/>
        </w:rPr>
        <w:t>,</w:t>
      </w:r>
      <w:r w:rsidRPr="00141C43">
        <w:rPr>
          <w:rFonts w:ascii="Times New Roman" w:hAnsi="Times New Roman" w:cs="Times New Roman"/>
          <w:sz w:val="24"/>
          <w:szCs w:val="24"/>
        </w:rPr>
        <w:t xml:space="preserve"> devido </w:t>
      </w:r>
      <w:r w:rsidR="00911244" w:rsidRPr="00141C43">
        <w:rPr>
          <w:rFonts w:ascii="Times New Roman" w:hAnsi="Times New Roman" w:cs="Times New Roman"/>
          <w:sz w:val="24"/>
          <w:szCs w:val="24"/>
        </w:rPr>
        <w:t>à</w:t>
      </w:r>
      <w:r w:rsidRPr="00141C43">
        <w:rPr>
          <w:rFonts w:ascii="Times New Roman" w:hAnsi="Times New Roman" w:cs="Times New Roman"/>
          <w:sz w:val="24"/>
          <w:szCs w:val="24"/>
        </w:rPr>
        <w:t xml:space="preserve"> crise política brasileira</w:t>
      </w:r>
      <w:r w:rsidR="00B173ED" w:rsidRPr="00141C43">
        <w:rPr>
          <w:rFonts w:ascii="Times New Roman" w:hAnsi="Times New Roman" w:cs="Times New Roman"/>
          <w:sz w:val="24"/>
          <w:szCs w:val="24"/>
        </w:rPr>
        <w:t xml:space="preserve">. Contudo, </w:t>
      </w:r>
      <w:r w:rsidRPr="00141C43">
        <w:rPr>
          <w:rFonts w:ascii="Times New Roman" w:hAnsi="Times New Roman" w:cs="Times New Roman"/>
          <w:sz w:val="24"/>
          <w:szCs w:val="24"/>
        </w:rPr>
        <w:t xml:space="preserve">no ano de 2016, </w:t>
      </w:r>
      <w:r w:rsidR="00B173ED" w:rsidRPr="00141C43">
        <w:rPr>
          <w:rFonts w:ascii="Times New Roman" w:hAnsi="Times New Roman" w:cs="Times New Roman"/>
          <w:sz w:val="24"/>
          <w:szCs w:val="24"/>
        </w:rPr>
        <w:t>apresentou</w:t>
      </w:r>
      <w:r w:rsidRPr="00141C43">
        <w:rPr>
          <w:rFonts w:ascii="Times New Roman" w:hAnsi="Times New Roman" w:cs="Times New Roman"/>
          <w:sz w:val="24"/>
          <w:szCs w:val="24"/>
        </w:rPr>
        <w:t xml:space="preserve"> prospecção de recuperação de crédito</w:t>
      </w:r>
      <w:r w:rsidR="00B173ED" w:rsidRPr="00141C43">
        <w:rPr>
          <w:rFonts w:ascii="Times New Roman" w:hAnsi="Times New Roman" w:cs="Times New Roman"/>
          <w:sz w:val="24"/>
          <w:szCs w:val="24"/>
        </w:rPr>
        <w:t>,</w:t>
      </w:r>
      <w:r w:rsidRPr="00141C43">
        <w:rPr>
          <w:rFonts w:ascii="Times New Roman" w:hAnsi="Times New Roman" w:cs="Times New Roman"/>
          <w:sz w:val="24"/>
          <w:szCs w:val="24"/>
        </w:rPr>
        <w:t xml:space="preserve"> c</w:t>
      </w:r>
      <w:r w:rsidR="00B173ED" w:rsidRPr="00141C43">
        <w:rPr>
          <w:rFonts w:ascii="Times New Roman" w:hAnsi="Times New Roman" w:cs="Times New Roman"/>
          <w:sz w:val="24"/>
          <w:szCs w:val="24"/>
        </w:rPr>
        <w:t>omo</w:t>
      </w:r>
      <w:r w:rsidRPr="00141C43">
        <w:rPr>
          <w:rFonts w:ascii="Times New Roman" w:hAnsi="Times New Roman" w:cs="Times New Roman"/>
          <w:sz w:val="24"/>
          <w:szCs w:val="24"/>
        </w:rPr>
        <w:t xml:space="preserve"> demonstra a curva da ETTJ 2016.</w:t>
      </w:r>
    </w:p>
    <w:p w14:paraId="604B5920" w14:textId="52D641EE" w:rsidR="00136F51" w:rsidRPr="00141C43" w:rsidRDefault="00904B62" w:rsidP="00D55EBA">
      <w:pPr>
        <w:pStyle w:val="Ttulo2"/>
        <w:spacing w:before="240" w:after="240"/>
        <w:rPr>
          <w:rFonts w:ascii="Times New Roman" w:hAnsi="Times New Roman" w:cs="Times New Roman"/>
          <w:color w:val="000000" w:themeColor="text1"/>
          <w:sz w:val="24"/>
          <w:szCs w:val="24"/>
        </w:rPr>
      </w:pPr>
      <w:bookmarkStart w:id="10" w:name="_Toc469928721"/>
      <w:r>
        <w:rPr>
          <w:rFonts w:ascii="Times New Roman" w:hAnsi="Times New Roman" w:cs="Times New Roman"/>
          <w:color w:val="000000" w:themeColor="text1"/>
          <w:sz w:val="24"/>
          <w:szCs w:val="24"/>
        </w:rPr>
        <w:t>3.2</w:t>
      </w:r>
      <w:r w:rsidR="00136F51" w:rsidRPr="00141C43">
        <w:rPr>
          <w:rFonts w:ascii="Times New Roman" w:hAnsi="Times New Roman" w:cs="Times New Roman"/>
          <w:color w:val="000000" w:themeColor="text1"/>
          <w:sz w:val="24"/>
          <w:szCs w:val="24"/>
        </w:rPr>
        <w:t xml:space="preserve"> – Reclassificação em 2015</w:t>
      </w:r>
      <w:bookmarkEnd w:id="10"/>
    </w:p>
    <w:p w14:paraId="45A70BD9" w14:textId="0CAEC3B7" w:rsidR="00986C16" w:rsidRPr="00141C43" w:rsidRDefault="00FD7653" w:rsidP="00136F5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As notas explicativas publicadas pelas </w:t>
      </w:r>
      <w:r w:rsidR="002D1EAF" w:rsidRPr="00141C43">
        <w:rPr>
          <w:rFonts w:ascii="Times New Roman" w:hAnsi="Times New Roman" w:cs="Times New Roman"/>
          <w:sz w:val="24"/>
          <w:szCs w:val="24"/>
        </w:rPr>
        <w:t>seguradoras</w:t>
      </w:r>
      <w:r w:rsidR="009556B6" w:rsidRPr="00141C43">
        <w:rPr>
          <w:rFonts w:ascii="Times New Roman" w:hAnsi="Times New Roman" w:cs="Times New Roman"/>
          <w:sz w:val="24"/>
          <w:szCs w:val="24"/>
        </w:rPr>
        <w:t xml:space="preserve"> apresentam</w:t>
      </w:r>
      <w:r w:rsidR="00D25F4F" w:rsidRPr="00141C43">
        <w:rPr>
          <w:rFonts w:ascii="Times New Roman" w:hAnsi="Times New Roman" w:cs="Times New Roman"/>
          <w:sz w:val="24"/>
          <w:szCs w:val="24"/>
        </w:rPr>
        <w:t xml:space="preserve"> os </w:t>
      </w:r>
      <w:r w:rsidR="00046537" w:rsidRPr="00141C43">
        <w:rPr>
          <w:rFonts w:ascii="Times New Roman" w:hAnsi="Times New Roman" w:cs="Times New Roman"/>
          <w:sz w:val="24"/>
          <w:szCs w:val="24"/>
        </w:rPr>
        <w:t>detalhes da</w:t>
      </w:r>
      <w:r w:rsidR="002D1EAF" w:rsidRPr="00141C43">
        <w:rPr>
          <w:rFonts w:ascii="Times New Roman" w:hAnsi="Times New Roman" w:cs="Times New Roman"/>
          <w:sz w:val="24"/>
          <w:szCs w:val="24"/>
        </w:rPr>
        <w:t xml:space="preserve">s </w:t>
      </w:r>
      <w:r w:rsidR="00046537" w:rsidRPr="00141C43">
        <w:rPr>
          <w:rFonts w:ascii="Times New Roman" w:hAnsi="Times New Roman" w:cs="Times New Roman"/>
          <w:sz w:val="24"/>
          <w:szCs w:val="24"/>
        </w:rPr>
        <w:t>classificações adotadas</w:t>
      </w:r>
      <w:r w:rsidR="002D1EAF" w:rsidRPr="00141C43">
        <w:rPr>
          <w:rFonts w:ascii="Times New Roman" w:hAnsi="Times New Roman" w:cs="Times New Roman"/>
          <w:sz w:val="24"/>
          <w:szCs w:val="24"/>
        </w:rPr>
        <w:t xml:space="preserve"> no momento da compra dos </w:t>
      </w:r>
      <w:r w:rsidR="00D25F4F" w:rsidRPr="00141C43">
        <w:rPr>
          <w:rFonts w:ascii="Times New Roman" w:hAnsi="Times New Roman" w:cs="Times New Roman"/>
          <w:sz w:val="24"/>
          <w:szCs w:val="24"/>
        </w:rPr>
        <w:t>títulos de valores mobiliários que possuem em carteiras e suas intenções, adotando</w:t>
      </w:r>
      <w:r w:rsidR="007F6CED" w:rsidRPr="00141C43">
        <w:rPr>
          <w:rFonts w:ascii="Times New Roman" w:hAnsi="Times New Roman" w:cs="Times New Roman"/>
          <w:sz w:val="24"/>
          <w:szCs w:val="24"/>
        </w:rPr>
        <w:t>,</w:t>
      </w:r>
      <w:r w:rsidR="00D25F4F" w:rsidRPr="00141C43">
        <w:rPr>
          <w:rFonts w:ascii="Times New Roman" w:hAnsi="Times New Roman" w:cs="Times New Roman"/>
          <w:sz w:val="24"/>
          <w:szCs w:val="24"/>
        </w:rPr>
        <w:t xml:space="preserve"> dessa forma</w:t>
      </w:r>
      <w:r w:rsidR="007F6CED" w:rsidRPr="00141C43">
        <w:rPr>
          <w:rFonts w:ascii="Times New Roman" w:hAnsi="Times New Roman" w:cs="Times New Roman"/>
          <w:sz w:val="24"/>
          <w:szCs w:val="24"/>
        </w:rPr>
        <w:t>,</w:t>
      </w:r>
      <w:r w:rsidR="00D25F4F" w:rsidRPr="00141C43">
        <w:rPr>
          <w:rFonts w:ascii="Times New Roman" w:hAnsi="Times New Roman" w:cs="Times New Roman"/>
          <w:sz w:val="24"/>
          <w:szCs w:val="24"/>
        </w:rPr>
        <w:t xml:space="preserve"> o critério de classificação do instrumento financeiro.</w:t>
      </w:r>
      <w:r w:rsidR="00136F51" w:rsidRPr="00141C43">
        <w:rPr>
          <w:rFonts w:ascii="Times New Roman" w:hAnsi="Times New Roman" w:cs="Times New Roman"/>
          <w:sz w:val="24"/>
          <w:szCs w:val="24"/>
        </w:rPr>
        <w:t xml:space="preserve"> No caso dos títulos mantidos até o vencimento</w:t>
      </w:r>
      <w:r w:rsidR="007F6CED" w:rsidRPr="00141C43">
        <w:rPr>
          <w:rFonts w:ascii="Times New Roman" w:hAnsi="Times New Roman" w:cs="Times New Roman"/>
          <w:sz w:val="24"/>
          <w:szCs w:val="24"/>
        </w:rPr>
        <w:t>,</w:t>
      </w:r>
      <w:r w:rsidR="00B47493">
        <w:rPr>
          <w:rFonts w:ascii="Times New Roman" w:hAnsi="Times New Roman" w:cs="Times New Roman"/>
          <w:sz w:val="24"/>
          <w:szCs w:val="24"/>
        </w:rPr>
        <w:t xml:space="preserve"> </w:t>
      </w:r>
      <w:r w:rsidR="00136F51" w:rsidRPr="00141C43">
        <w:rPr>
          <w:rFonts w:ascii="Times New Roman" w:hAnsi="Times New Roman" w:cs="Times New Roman"/>
          <w:sz w:val="24"/>
          <w:szCs w:val="24"/>
        </w:rPr>
        <w:t>a regra do IAS39</w:t>
      </w:r>
      <w:r w:rsidR="007F6CED" w:rsidRPr="00141C43">
        <w:rPr>
          <w:rFonts w:ascii="Times New Roman" w:hAnsi="Times New Roman" w:cs="Times New Roman"/>
          <w:sz w:val="24"/>
          <w:szCs w:val="24"/>
        </w:rPr>
        <w:t>,</w:t>
      </w:r>
      <w:r w:rsidR="00136F51" w:rsidRPr="00141C43">
        <w:rPr>
          <w:rFonts w:ascii="Times New Roman" w:hAnsi="Times New Roman" w:cs="Times New Roman"/>
          <w:sz w:val="24"/>
          <w:szCs w:val="24"/>
        </w:rPr>
        <w:t xml:space="preserve"> não </w:t>
      </w:r>
      <w:r w:rsidR="00B47493">
        <w:rPr>
          <w:rFonts w:ascii="Times New Roman" w:hAnsi="Times New Roman" w:cs="Times New Roman"/>
          <w:sz w:val="24"/>
          <w:szCs w:val="24"/>
        </w:rPr>
        <w:t>prescreve</w:t>
      </w:r>
      <w:r w:rsidR="00136F51" w:rsidRPr="00141C43">
        <w:rPr>
          <w:rFonts w:ascii="Times New Roman" w:hAnsi="Times New Roman" w:cs="Times New Roman"/>
          <w:sz w:val="24"/>
          <w:szCs w:val="24"/>
        </w:rPr>
        <w:t xml:space="preserve"> o critério do </w:t>
      </w:r>
      <w:proofErr w:type="spellStart"/>
      <w:r w:rsidR="00136F51" w:rsidRPr="00141C43">
        <w:rPr>
          <w:rFonts w:ascii="Times New Roman" w:hAnsi="Times New Roman" w:cs="Times New Roman"/>
          <w:sz w:val="24"/>
          <w:szCs w:val="24"/>
        </w:rPr>
        <w:t>MtM</w:t>
      </w:r>
      <w:proofErr w:type="spellEnd"/>
      <w:r w:rsidR="00136F51" w:rsidRPr="00141C43">
        <w:rPr>
          <w:rFonts w:ascii="Times New Roman" w:hAnsi="Times New Roman" w:cs="Times New Roman"/>
          <w:sz w:val="24"/>
          <w:szCs w:val="24"/>
        </w:rPr>
        <w:t xml:space="preserve"> na demonstração financeira</w:t>
      </w:r>
      <w:r w:rsidR="007F6CED" w:rsidRPr="00141C43">
        <w:rPr>
          <w:rFonts w:ascii="Times New Roman" w:hAnsi="Times New Roman" w:cs="Times New Roman"/>
          <w:sz w:val="24"/>
          <w:szCs w:val="24"/>
        </w:rPr>
        <w:t>. Contudo, n</w:t>
      </w:r>
      <w:r w:rsidR="000D266A" w:rsidRPr="00141C43">
        <w:rPr>
          <w:rFonts w:ascii="Times New Roman" w:hAnsi="Times New Roman" w:cs="Times New Roman"/>
          <w:sz w:val="24"/>
          <w:szCs w:val="24"/>
        </w:rPr>
        <w:t>a</w:t>
      </w:r>
      <w:r w:rsidR="00136F51" w:rsidRPr="00141C43">
        <w:rPr>
          <w:rFonts w:ascii="Times New Roman" w:hAnsi="Times New Roman" w:cs="Times New Roman"/>
          <w:sz w:val="24"/>
          <w:szCs w:val="24"/>
        </w:rPr>
        <w:t xml:space="preserve"> nota explicativa do fechamento de 2015</w:t>
      </w:r>
      <w:r w:rsidR="007F6CED" w:rsidRPr="00141C43">
        <w:rPr>
          <w:rFonts w:ascii="Times New Roman" w:hAnsi="Times New Roman" w:cs="Times New Roman"/>
          <w:sz w:val="24"/>
          <w:szCs w:val="24"/>
        </w:rPr>
        <w:t>,</w:t>
      </w:r>
      <w:r w:rsidR="00A25138" w:rsidRPr="00141C43">
        <w:rPr>
          <w:rFonts w:ascii="Times New Roman" w:hAnsi="Times New Roman" w:cs="Times New Roman"/>
          <w:sz w:val="24"/>
          <w:szCs w:val="24"/>
        </w:rPr>
        <w:t xml:space="preserve"> as seguradoras estudadas apresentaram</w:t>
      </w:r>
      <w:r w:rsidR="00136F51" w:rsidRPr="00141C43">
        <w:rPr>
          <w:rFonts w:ascii="Times New Roman" w:hAnsi="Times New Roman" w:cs="Times New Roman"/>
          <w:sz w:val="24"/>
          <w:szCs w:val="24"/>
        </w:rPr>
        <w:t xml:space="preserve"> o impacto </w:t>
      </w:r>
      <w:r w:rsidR="007F6CED" w:rsidRPr="00141C43">
        <w:rPr>
          <w:rFonts w:ascii="Times New Roman" w:hAnsi="Times New Roman" w:cs="Times New Roman"/>
          <w:sz w:val="24"/>
          <w:szCs w:val="24"/>
        </w:rPr>
        <w:t>que ocorreria</w:t>
      </w:r>
      <w:r w:rsidR="00136F51" w:rsidRPr="00141C43">
        <w:rPr>
          <w:rFonts w:ascii="Times New Roman" w:hAnsi="Times New Roman" w:cs="Times New Roman"/>
          <w:sz w:val="24"/>
          <w:szCs w:val="24"/>
        </w:rPr>
        <w:t>.</w:t>
      </w:r>
    </w:p>
    <w:p w14:paraId="275AC6F8" w14:textId="7CECB1C8" w:rsidR="008F563B" w:rsidRPr="00141C43" w:rsidRDefault="00287736" w:rsidP="00136F5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Como critério de an</w:t>
      </w:r>
      <w:r w:rsidR="003E1751" w:rsidRPr="00141C43">
        <w:rPr>
          <w:rFonts w:ascii="Times New Roman" w:hAnsi="Times New Roman" w:cs="Times New Roman"/>
          <w:sz w:val="24"/>
          <w:szCs w:val="24"/>
        </w:rPr>
        <w:t>álise</w:t>
      </w:r>
      <w:r w:rsidR="007B1CF8" w:rsidRPr="00141C43">
        <w:rPr>
          <w:rFonts w:ascii="Times New Roman" w:hAnsi="Times New Roman" w:cs="Times New Roman"/>
          <w:sz w:val="24"/>
          <w:szCs w:val="24"/>
        </w:rPr>
        <w:t>,</w:t>
      </w:r>
      <w:r w:rsidR="003E1751" w:rsidRPr="00141C43">
        <w:rPr>
          <w:rFonts w:ascii="Times New Roman" w:hAnsi="Times New Roman" w:cs="Times New Roman"/>
          <w:sz w:val="24"/>
          <w:szCs w:val="24"/>
        </w:rPr>
        <w:t xml:space="preserve"> foi utilizad</w:t>
      </w:r>
      <w:r w:rsidR="007B1CF8" w:rsidRPr="00141C43">
        <w:rPr>
          <w:rFonts w:ascii="Times New Roman" w:hAnsi="Times New Roman" w:cs="Times New Roman"/>
          <w:sz w:val="24"/>
          <w:szCs w:val="24"/>
        </w:rPr>
        <w:t>a</w:t>
      </w:r>
      <w:r w:rsidR="003E1751" w:rsidRPr="00141C43">
        <w:rPr>
          <w:rFonts w:ascii="Times New Roman" w:hAnsi="Times New Roman" w:cs="Times New Roman"/>
          <w:sz w:val="24"/>
          <w:szCs w:val="24"/>
        </w:rPr>
        <w:t xml:space="preserve"> a marcação a mercado dos títulos mantidos até o vencimento para poder calcular o impacto, </w:t>
      </w:r>
      <w:r w:rsidR="007B1CF8" w:rsidRPr="00141C43">
        <w:rPr>
          <w:rFonts w:ascii="Times New Roman" w:hAnsi="Times New Roman" w:cs="Times New Roman"/>
          <w:sz w:val="24"/>
          <w:szCs w:val="24"/>
        </w:rPr>
        <w:t>obtido através</w:t>
      </w:r>
      <w:r w:rsidR="003E1751" w:rsidRPr="00141C43">
        <w:rPr>
          <w:rFonts w:ascii="Times New Roman" w:hAnsi="Times New Roman" w:cs="Times New Roman"/>
          <w:sz w:val="24"/>
          <w:szCs w:val="24"/>
        </w:rPr>
        <w:t xml:space="preserve"> do método de análise horizontal sobre a conta de aplicação financeira</w:t>
      </w:r>
      <w:r w:rsidR="00046537" w:rsidRPr="00141C43">
        <w:rPr>
          <w:rFonts w:ascii="Times New Roman" w:hAnsi="Times New Roman" w:cs="Times New Roman"/>
          <w:sz w:val="24"/>
          <w:szCs w:val="24"/>
        </w:rPr>
        <w:t>, para alcançar</w:t>
      </w:r>
      <w:r w:rsidR="003E1751" w:rsidRPr="00141C43">
        <w:rPr>
          <w:rFonts w:ascii="Times New Roman" w:hAnsi="Times New Roman" w:cs="Times New Roman"/>
          <w:sz w:val="24"/>
          <w:szCs w:val="24"/>
        </w:rPr>
        <w:t xml:space="preserve"> </w:t>
      </w:r>
      <w:r w:rsidR="0080395F" w:rsidRPr="00141C43">
        <w:rPr>
          <w:rFonts w:ascii="Times New Roman" w:hAnsi="Times New Roman" w:cs="Times New Roman"/>
          <w:sz w:val="24"/>
          <w:szCs w:val="24"/>
        </w:rPr>
        <w:t xml:space="preserve">o resultado do impacto </w:t>
      </w:r>
      <w:r w:rsidR="003E1751" w:rsidRPr="00141C43">
        <w:rPr>
          <w:rFonts w:ascii="Times New Roman" w:hAnsi="Times New Roman" w:cs="Times New Roman"/>
          <w:sz w:val="24"/>
          <w:szCs w:val="24"/>
        </w:rPr>
        <w:t>sobre a reclassificação</w:t>
      </w:r>
      <w:r w:rsidR="002970AB">
        <w:rPr>
          <w:rFonts w:ascii="Times New Roman" w:hAnsi="Times New Roman" w:cs="Times New Roman"/>
          <w:sz w:val="24"/>
          <w:szCs w:val="24"/>
        </w:rPr>
        <w:t>.</w:t>
      </w:r>
    </w:p>
    <w:p w14:paraId="314445D9" w14:textId="4453393C" w:rsidR="00A62DB9" w:rsidRDefault="00A62DB9" w:rsidP="00136F51">
      <w:pPr>
        <w:spacing w:before="120" w:after="120" w:line="36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Para validação de dados estatísticos enviados para a Susep mensalmente a curva de tolerância </w:t>
      </w:r>
      <w:r w:rsidR="003B032D">
        <w:rPr>
          <w:rFonts w:ascii="Times New Roman" w:eastAsiaTheme="minorEastAsia" w:hAnsi="Times New Roman" w:cs="Times New Roman"/>
          <w:sz w:val="24"/>
          <w:szCs w:val="24"/>
        </w:rPr>
        <w:t xml:space="preserve">está entre -1% e 1%, que será a margem </w:t>
      </w:r>
      <w:r w:rsidR="00F502DA">
        <w:rPr>
          <w:rFonts w:ascii="Times New Roman" w:eastAsiaTheme="minorEastAsia" w:hAnsi="Times New Roman" w:cs="Times New Roman"/>
          <w:sz w:val="24"/>
          <w:szCs w:val="24"/>
        </w:rPr>
        <w:t>de impacto na rentabilidade na conta de aplicações financeiras</w:t>
      </w:r>
      <w:r w:rsidR="003B032D">
        <w:rPr>
          <w:rFonts w:ascii="Times New Roman" w:eastAsiaTheme="minorEastAsia" w:hAnsi="Times New Roman" w:cs="Times New Roman"/>
          <w:sz w:val="24"/>
          <w:szCs w:val="24"/>
        </w:rPr>
        <w:t>.</w:t>
      </w:r>
    </w:p>
    <w:p w14:paraId="6FEB9713" w14:textId="4FDCE828" w:rsidR="00DF0958" w:rsidRPr="00141C43" w:rsidRDefault="00DF0958" w:rsidP="00136F51">
      <w:pPr>
        <w:spacing w:before="120" w:after="120" w:line="360" w:lineRule="auto"/>
        <w:ind w:firstLine="709"/>
        <w:jc w:val="both"/>
        <w:rPr>
          <w:rFonts w:ascii="Times New Roman" w:eastAsiaTheme="minorEastAsia" w:hAnsi="Times New Roman" w:cs="Times New Roman"/>
          <w:sz w:val="24"/>
          <w:szCs w:val="24"/>
        </w:rPr>
      </w:pPr>
      <w:r w:rsidRPr="00141C43">
        <w:rPr>
          <w:rFonts w:ascii="Times New Roman" w:eastAsiaTheme="minorEastAsia" w:hAnsi="Times New Roman" w:cs="Times New Roman"/>
          <w:sz w:val="24"/>
          <w:szCs w:val="24"/>
        </w:rPr>
        <w:t>N</w:t>
      </w:r>
      <w:r w:rsidR="00102A50" w:rsidRPr="00141C43">
        <w:rPr>
          <w:rFonts w:ascii="Times New Roman" w:eastAsiaTheme="minorEastAsia" w:hAnsi="Times New Roman" w:cs="Times New Roman"/>
          <w:sz w:val="24"/>
          <w:szCs w:val="24"/>
        </w:rPr>
        <w:t>a tabela</w:t>
      </w:r>
      <w:r w:rsidR="00047C96">
        <w:rPr>
          <w:rFonts w:ascii="Times New Roman" w:eastAsiaTheme="minorEastAsia" w:hAnsi="Times New Roman" w:cs="Times New Roman"/>
          <w:sz w:val="24"/>
          <w:szCs w:val="24"/>
        </w:rPr>
        <w:t xml:space="preserve"> 6</w:t>
      </w:r>
      <w:r w:rsidR="000B7B39" w:rsidRPr="00141C43">
        <w:rPr>
          <w:rFonts w:ascii="Times New Roman" w:eastAsiaTheme="minorEastAsia" w:hAnsi="Times New Roman" w:cs="Times New Roman"/>
          <w:sz w:val="24"/>
          <w:szCs w:val="24"/>
        </w:rPr>
        <w:t xml:space="preserve">, em seguida, </w:t>
      </w:r>
      <w:r w:rsidR="00A25138" w:rsidRPr="00141C43">
        <w:rPr>
          <w:rFonts w:ascii="Times New Roman" w:eastAsiaTheme="minorEastAsia" w:hAnsi="Times New Roman" w:cs="Times New Roman"/>
          <w:sz w:val="24"/>
          <w:szCs w:val="24"/>
        </w:rPr>
        <w:t>demonstra-se o</w:t>
      </w:r>
      <w:r w:rsidRPr="00141C43">
        <w:rPr>
          <w:rFonts w:ascii="Times New Roman" w:eastAsiaTheme="minorEastAsia" w:hAnsi="Times New Roman" w:cs="Times New Roman"/>
          <w:sz w:val="24"/>
          <w:szCs w:val="24"/>
        </w:rPr>
        <w:t xml:space="preserve"> impacto real com</w:t>
      </w:r>
      <w:r w:rsidR="00046537" w:rsidRPr="00141C43">
        <w:rPr>
          <w:rFonts w:ascii="Times New Roman" w:eastAsiaTheme="minorEastAsia" w:hAnsi="Times New Roman" w:cs="Times New Roman"/>
          <w:sz w:val="24"/>
          <w:szCs w:val="24"/>
        </w:rPr>
        <w:t xml:space="preserve"> </w:t>
      </w:r>
      <w:r w:rsidRPr="00141C43">
        <w:rPr>
          <w:rFonts w:ascii="Times New Roman" w:eastAsiaTheme="minorEastAsia" w:hAnsi="Times New Roman" w:cs="Times New Roman"/>
          <w:sz w:val="24"/>
          <w:szCs w:val="24"/>
        </w:rPr>
        <w:t xml:space="preserve">base </w:t>
      </w:r>
      <w:r w:rsidR="00046537" w:rsidRPr="00141C43">
        <w:rPr>
          <w:rFonts w:ascii="Times New Roman" w:eastAsiaTheme="minorEastAsia" w:hAnsi="Times New Roman" w:cs="Times New Roman"/>
          <w:sz w:val="24"/>
          <w:szCs w:val="24"/>
        </w:rPr>
        <w:t>n</w:t>
      </w:r>
      <w:r w:rsidRPr="00141C43">
        <w:rPr>
          <w:rFonts w:ascii="Times New Roman" w:eastAsiaTheme="minorEastAsia" w:hAnsi="Times New Roman" w:cs="Times New Roman"/>
          <w:sz w:val="24"/>
          <w:szCs w:val="24"/>
        </w:rPr>
        <w:t>as notas explicativas publicadas em 2015</w:t>
      </w:r>
      <w:r w:rsidR="000B7B39" w:rsidRPr="00141C43">
        <w:rPr>
          <w:rFonts w:ascii="Times New Roman" w:eastAsiaTheme="minorEastAsia" w:hAnsi="Times New Roman" w:cs="Times New Roman"/>
          <w:sz w:val="24"/>
          <w:szCs w:val="24"/>
        </w:rPr>
        <w:t>:</w:t>
      </w:r>
    </w:p>
    <w:p w14:paraId="4E6C4057" w14:textId="205912B6" w:rsidR="00102A50" w:rsidRPr="00141C43" w:rsidRDefault="00102A50" w:rsidP="00102A50">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Tabela</w:t>
      </w:r>
      <w:r w:rsidR="00047C96">
        <w:rPr>
          <w:rFonts w:ascii="Times New Roman" w:hAnsi="Times New Roman" w:cs="Times New Roman"/>
          <w:sz w:val="24"/>
          <w:szCs w:val="24"/>
        </w:rPr>
        <w:t xml:space="preserve"> 6</w:t>
      </w:r>
    </w:p>
    <w:p w14:paraId="29ED36A1" w14:textId="77777777" w:rsidR="00DF0958" w:rsidRPr="00141C43" w:rsidRDefault="00093F68" w:rsidP="00102A50">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Impacto de reclassificação 2015</w:t>
      </w:r>
    </w:p>
    <w:tbl>
      <w:tblPr>
        <w:tblW w:w="7334" w:type="dxa"/>
        <w:tblInd w:w="779" w:type="dxa"/>
        <w:tblCellMar>
          <w:left w:w="70" w:type="dxa"/>
          <w:right w:w="70" w:type="dxa"/>
        </w:tblCellMar>
        <w:tblLook w:val="04A0" w:firstRow="1" w:lastRow="0" w:firstColumn="1" w:lastColumn="0" w:noHBand="0" w:noVBand="1"/>
      </w:tblPr>
      <w:tblGrid>
        <w:gridCol w:w="2580"/>
        <w:gridCol w:w="1500"/>
        <w:gridCol w:w="1594"/>
        <w:gridCol w:w="1660"/>
      </w:tblGrid>
      <w:tr w:rsidR="0077605E" w:rsidRPr="00141C43" w14:paraId="43AC6598" w14:textId="77777777" w:rsidTr="00102A50">
        <w:trPr>
          <w:trHeight w:val="330"/>
        </w:trPr>
        <w:tc>
          <w:tcPr>
            <w:tcW w:w="2580" w:type="dxa"/>
            <w:tcBorders>
              <w:top w:val="single" w:sz="4" w:space="0" w:color="auto"/>
              <w:left w:val="nil"/>
              <w:bottom w:val="single" w:sz="4" w:space="0" w:color="auto"/>
              <w:right w:val="nil"/>
            </w:tcBorders>
            <w:shd w:val="clear" w:color="auto" w:fill="auto"/>
            <w:noWrap/>
            <w:vAlign w:val="bottom"/>
            <w:hideMark/>
          </w:tcPr>
          <w:p w14:paraId="0C557CFB" w14:textId="77777777" w:rsidR="0077605E" w:rsidRPr="00141C43" w:rsidRDefault="0077605E" w:rsidP="0077605E">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Seguradora</w:t>
            </w:r>
          </w:p>
        </w:tc>
        <w:tc>
          <w:tcPr>
            <w:tcW w:w="1500" w:type="dxa"/>
            <w:tcBorders>
              <w:top w:val="single" w:sz="4" w:space="0" w:color="auto"/>
              <w:left w:val="nil"/>
              <w:bottom w:val="single" w:sz="4" w:space="0" w:color="auto"/>
              <w:right w:val="nil"/>
            </w:tcBorders>
            <w:shd w:val="clear" w:color="auto" w:fill="auto"/>
            <w:noWrap/>
            <w:vAlign w:val="bottom"/>
            <w:hideMark/>
          </w:tcPr>
          <w:p w14:paraId="46A86F64" w14:textId="77777777" w:rsidR="0077605E" w:rsidRPr="00141C43" w:rsidRDefault="0077605E" w:rsidP="0077605E">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2015</w:t>
            </w:r>
          </w:p>
        </w:tc>
        <w:tc>
          <w:tcPr>
            <w:tcW w:w="1594" w:type="dxa"/>
            <w:tcBorders>
              <w:top w:val="single" w:sz="4" w:space="0" w:color="auto"/>
              <w:left w:val="nil"/>
              <w:bottom w:val="single" w:sz="4" w:space="0" w:color="auto"/>
              <w:right w:val="nil"/>
            </w:tcBorders>
            <w:shd w:val="clear" w:color="auto" w:fill="auto"/>
            <w:noWrap/>
            <w:vAlign w:val="bottom"/>
            <w:hideMark/>
          </w:tcPr>
          <w:p w14:paraId="46C630BC" w14:textId="77777777" w:rsidR="0077605E" w:rsidRPr="00141C43" w:rsidRDefault="0077605E" w:rsidP="0077605E">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Reclassificada</w:t>
            </w:r>
          </w:p>
        </w:tc>
        <w:tc>
          <w:tcPr>
            <w:tcW w:w="1660" w:type="dxa"/>
            <w:tcBorders>
              <w:top w:val="single" w:sz="4" w:space="0" w:color="auto"/>
              <w:left w:val="nil"/>
              <w:bottom w:val="single" w:sz="4" w:space="0" w:color="auto"/>
              <w:right w:val="nil"/>
            </w:tcBorders>
            <w:shd w:val="clear" w:color="auto" w:fill="auto"/>
            <w:noWrap/>
            <w:vAlign w:val="bottom"/>
            <w:hideMark/>
          </w:tcPr>
          <w:p w14:paraId="3C487B3B" w14:textId="77777777" w:rsidR="0077605E" w:rsidRPr="00141C43" w:rsidRDefault="0077605E" w:rsidP="0077605E">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w:t>
            </w:r>
          </w:p>
        </w:tc>
      </w:tr>
      <w:tr w:rsidR="0077605E" w:rsidRPr="00141C43" w14:paraId="6495232B" w14:textId="77777777" w:rsidTr="00102A50">
        <w:trPr>
          <w:trHeight w:val="330"/>
        </w:trPr>
        <w:tc>
          <w:tcPr>
            <w:tcW w:w="2580" w:type="dxa"/>
            <w:tcBorders>
              <w:top w:val="single" w:sz="4" w:space="0" w:color="auto"/>
              <w:left w:val="nil"/>
              <w:bottom w:val="nil"/>
              <w:right w:val="nil"/>
            </w:tcBorders>
            <w:shd w:val="clear" w:color="auto" w:fill="auto"/>
            <w:noWrap/>
            <w:vAlign w:val="bottom"/>
            <w:hideMark/>
          </w:tcPr>
          <w:p w14:paraId="47C245EB"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Bradesco Seguros</w:t>
            </w:r>
          </w:p>
        </w:tc>
        <w:tc>
          <w:tcPr>
            <w:tcW w:w="1500" w:type="dxa"/>
            <w:tcBorders>
              <w:top w:val="single" w:sz="4" w:space="0" w:color="auto"/>
              <w:left w:val="nil"/>
              <w:bottom w:val="nil"/>
              <w:right w:val="nil"/>
            </w:tcBorders>
            <w:shd w:val="clear" w:color="auto" w:fill="auto"/>
            <w:noWrap/>
            <w:vAlign w:val="bottom"/>
            <w:hideMark/>
          </w:tcPr>
          <w:p w14:paraId="03013013"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137.864.188 </w:t>
            </w:r>
          </w:p>
        </w:tc>
        <w:tc>
          <w:tcPr>
            <w:tcW w:w="1594" w:type="dxa"/>
            <w:tcBorders>
              <w:top w:val="single" w:sz="4" w:space="0" w:color="auto"/>
              <w:left w:val="nil"/>
              <w:bottom w:val="nil"/>
              <w:right w:val="nil"/>
            </w:tcBorders>
            <w:shd w:val="clear" w:color="auto" w:fill="auto"/>
            <w:noWrap/>
            <w:vAlign w:val="bottom"/>
            <w:hideMark/>
          </w:tcPr>
          <w:p w14:paraId="5F9E0B5D"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137.803.556 </w:t>
            </w:r>
          </w:p>
        </w:tc>
        <w:tc>
          <w:tcPr>
            <w:tcW w:w="1660" w:type="dxa"/>
            <w:tcBorders>
              <w:top w:val="single" w:sz="4" w:space="0" w:color="auto"/>
              <w:left w:val="nil"/>
              <w:bottom w:val="nil"/>
              <w:right w:val="nil"/>
            </w:tcBorders>
            <w:shd w:val="clear" w:color="auto" w:fill="auto"/>
            <w:noWrap/>
            <w:vAlign w:val="bottom"/>
            <w:hideMark/>
          </w:tcPr>
          <w:p w14:paraId="4D26CD0C" w14:textId="77777777" w:rsidR="0077605E" w:rsidRPr="00141C43" w:rsidRDefault="0077605E" w:rsidP="0077605E">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-0,04%</w:t>
            </w:r>
          </w:p>
        </w:tc>
      </w:tr>
      <w:tr w:rsidR="0077605E" w:rsidRPr="00141C43" w14:paraId="232930C4" w14:textId="77777777" w:rsidTr="0077605E">
        <w:trPr>
          <w:trHeight w:val="315"/>
        </w:trPr>
        <w:tc>
          <w:tcPr>
            <w:tcW w:w="2580" w:type="dxa"/>
            <w:tcBorders>
              <w:top w:val="nil"/>
              <w:left w:val="nil"/>
              <w:bottom w:val="nil"/>
              <w:right w:val="nil"/>
            </w:tcBorders>
            <w:shd w:val="clear" w:color="auto" w:fill="auto"/>
            <w:noWrap/>
            <w:vAlign w:val="bottom"/>
            <w:hideMark/>
          </w:tcPr>
          <w:p w14:paraId="48731258"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proofErr w:type="spellStart"/>
            <w:r w:rsidRPr="00141C43">
              <w:rPr>
                <w:rFonts w:ascii="Times New Roman" w:eastAsia="Times New Roman" w:hAnsi="Times New Roman" w:cs="Times New Roman"/>
                <w:color w:val="000000"/>
                <w:sz w:val="24"/>
                <w:szCs w:val="24"/>
                <w:lang w:eastAsia="pt-BR"/>
              </w:rPr>
              <w:t>Brasilprev</w:t>
            </w:r>
            <w:proofErr w:type="spellEnd"/>
          </w:p>
        </w:tc>
        <w:tc>
          <w:tcPr>
            <w:tcW w:w="1500" w:type="dxa"/>
            <w:tcBorders>
              <w:top w:val="nil"/>
              <w:left w:val="nil"/>
              <w:bottom w:val="nil"/>
              <w:right w:val="nil"/>
            </w:tcBorders>
            <w:shd w:val="clear" w:color="auto" w:fill="auto"/>
            <w:noWrap/>
            <w:vAlign w:val="bottom"/>
            <w:hideMark/>
          </w:tcPr>
          <w:p w14:paraId="01939F20"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106.948.519 </w:t>
            </w:r>
          </w:p>
        </w:tc>
        <w:tc>
          <w:tcPr>
            <w:tcW w:w="1594" w:type="dxa"/>
            <w:tcBorders>
              <w:top w:val="nil"/>
              <w:left w:val="nil"/>
              <w:bottom w:val="nil"/>
              <w:right w:val="nil"/>
            </w:tcBorders>
            <w:shd w:val="clear" w:color="auto" w:fill="auto"/>
            <w:noWrap/>
            <w:vAlign w:val="bottom"/>
            <w:hideMark/>
          </w:tcPr>
          <w:p w14:paraId="174C4A58"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107.744.249 </w:t>
            </w:r>
          </w:p>
        </w:tc>
        <w:tc>
          <w:tcPr>
            <w:tcW w:w="1660" w:type="dxa"/>
            <w:tcBorders>
              <w:top w:val="nil"/>
              <w:left w:val="nil"/>
              <w:bottom w:val="nil"/>
              <w:right w:val="nil"/>
            </w:tcBorders>
            <w:shd w:val="clear" w:color="auto" w:fill="auto"/>
            <w:noWrap/>
            <w:vAlign w:val="bottom"/>
            <w:hideMark/>
          </w:tcPr>
          <w:p w14:paraId="64CCE2E4" w14:textId="77777777" w:rsidR="0077605E" w:rsidRPr="00141C43" w:rsidRDefault="0077605E" w:rsidP="0077605E">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0,74%</w:t>
            </w:r>
          </w:p>
        </w:tc>
      </w:tr>
      <w:tr w:rsidR="0077605E" w:rsidRPr="00141C43" w14:paraId="1E3BE0CC" w14:textId="77777777" w:rsidTr="0077605E">
        <w:trPr>
          <w:trHeight w:val="315"/>
        </w:trPr>
        <w:tc>
          <w:tcPr>
            <w:tcW w:w="2580" w:type="dxa"/>
            <w:tcBorders>
              <w:top w:val="nil"/>
              <w:left w:val="nil"/>
              <w:bottom w:val="nil"/>
              <w:right w:val="nil"/>
            </w:tcBorders>
            <w:shd w:val="clear" w:color="auto" w:fill="auto"/>
            <w:noWrap/>
            <w:vAlign w:val="bottom"/>
            <w:hideMark/>
          </w:tcPr>
          <w:p w14:paraId="7E408898"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Itaú Seguros</w:t>
            </w:r>
          </w:p>
        </w:tc>
        <w:tc>
          <w:tcPr>
            <w:tcW w:w="1500" w:type="dxa"/>
            <w:tcBorders>
              <w:top w:val="nil"/>
              <w:left w:val="nil"/>
              <w:bottom w:val="nil"/>
              <w:right w:val="nil"/>
            </w:tcBorders>
            <w:shd w:val="clear" w:color="auto" w:fill="auto"/>
            <w:noWrap/>
            <w:vAlign w:val="bottom"/>
            <w:hideMark/>
          </w:tcPr>
          <w:p w14:paraId="0CC534AB"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77.209.827 </w:t>
            </w:r>
          </w:p>
        </w:tc>
        <w:tc>
          <w:tcPr>
            <w:tcW w:w="1594" w:type="dxa"/>
            <w:tcBorders>
              <w:top w:val="nil"/>
              <w:left w:val="nil"/>
              <w:bottom w:val="nil"/>
              <w:right w:val="nil"/>
            </w:tcBorders>
            <w:shd w:val="clear" w:color="auto" w:fill="auto"/>
            <w:noWrap/>
            <w:vAlign w:val="bottom"/>
            <w:hideMark/>
          </w:tcPr>
          <w:p w14:paraId="04824AEF"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77.500.622 </w:t>
            </w:r>
          </w:p>
        </w:tc>
        <w:tc>
          <w:tcPr>
            <w:tcW w:w="1660" w:type="dxa"/>
            <w:tcBorders>
              <w:top w:val="nil"/>
              <w:left w:val="nil"/>
              <w:bottom w:val="nil"/>
              <w:right w:val="nil"/>
            </w:tcBorders>
            <w:shd w:val="clear" w:color="auto" w:fill="auto"/>
            <w:noWrap/>
            <w:vAlign w:val="bottom"/>
            <w:hideMark/>
          </w:tcPr>
          <w:p w14:paraId="158158E4" w14:textId="77777777" w:rsidR="0077605E" w:rsidRPr="00141C43" w:rsidRDefault="0077605E" w:rsidP="0077605E">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0,38%</w:t>
            </w:r>
          </w:p>
        </w:tc>
      </w:tr>
      <w:tr w:rsidR="0077605E" w:rsidRPr="00141C43" w14:paraId="495C83E1" w14:textId="77777777" w:rsidTr="0077605E">
        <w:trPr>
          <w:trHeight w:val="315"/>
        </w:trPr>
        <w:tc>
          <w:tcPr>
            <w:tcW w:w="2580" w:type="dxa"/>
            <w:tcBorders>
              <w:top w:val="nil"/>
              <w:left w:val="nil"/>
              <w:bottom w:val="nil"/>
              <w:right w:val="nil"/>
            </w:tcBorders>
            <w:shd w:val="clear" w:color="auto" w:fill="auto"/>
            <w:noWrap/>
            <w:vAlign w:val="bottom"/>
            <w:hideMark/>
          </w:tcPr>
          <w:p w14:paraId="7A2BADE6"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BB Mapfre</w:t>
            </w:r>
          </w:p>
        </w:tc>
        <w:tc>
          <w:tcPr>
            <w:tcW w:w="1500" w:type="dxa"/>
            <w:tcBorders>
              <w:top w:val="nil"/>
              <w:left w:val="nil"/>
              <w:bottom w:val="nil"/>
              <w:right w:val="nil"/>
            </w:tcBorders>
            <w:shd w:val="clear" w:color="auto" w:fill="auto"/>
            <w:noWrap/>
            <w:vAlign w:val="bottom"/>
            <w:hideMark/>
          </w:tcPr>
          <w:p w14:paraId="78BB4ECE"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4.113.338 </w:t>
            </w:r>
          </w:p>
        </w:tc>
        <w:tc>
          <w:tcPr>
            <w:tcW w:w="1594" w:type="dxa"/>
            <w:tcBorders>
              <w:top w:val="nil"/>
              <w:left w:val="nil"/>
              <w:bottom w:val="nil"/>
              <w:right w:val="nil"/>
            </w:tcBorders>
            <w:shd w:val="clear" w:color="auto" w:fill="auto"/>
            <w:noWrap/>
            <w:vAlign w:val="bottom"/>
            <w:hideMark/>
          </w:tcPr>
          <w:p w14:paraId="44CB3796"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4.000.456 </w:t>
            </w:r>
          </w:p>
        </w:tc>
        <w:tc>
          <w:tcPr>
            <w:tcW w:w="1660" w:type="dxa"/>
            <w:tcBorders>
              <w:top w:val="nil"/>
              <w:left w:val="nil"/>
              <w:bottom w:val="nil"/>
              <w:right w:val="nil"/>
            </w:tcBorders>
            <w:shd w:val="clear" w:color="auto" w:fill="auto"/>
            <w:noWrap/>
            <w:vAlign w:val="bottom"/>
            <w:hideMark/>
          </w:tcPr>
          <w:p w14:paraId="43204DFC" w14:textId="77777777" w:rsidR="0077605E" w:rsidRPr="00141C43" w:rsidRDefault="0077605E" w:rsidP="0077605E">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-2,74%</w:t>
            </w:r>
          </w:p>
        </w:tc>
      </w:tr>
      <w:tr w:rsidR="0077605E" w:rsidRPr="00141C43" w14:paraId="22B0288D" w14:textId="77777777" w:rsidTr="00102A50">
        <w:trPr>
          <w:trHeight w:val="315"/>
        </w:trPr>
        <w:tc>
          <w:tcPr>
            <w:tcW w:w="2580" w:type="dxa"/>
            <w:tcBorders>
              <w:top w:val="nil"/>
              <w:left w:val="nil"/>
              <w:bottom w:val="single" w:sz="4" w:space="0" w:color="auto"/>
              <w:right w:val="nil"/>
            </w:tcBorders>
            <w:shd w:val="clear" w:color="auto" w:fill="auto"/>
            <w:noWrap/>
            <w:vAlign w:val="bottom"/>
            <w:hideMark/>
          </w:tcPr>
          <w:p w14:paraId="7D3C2594"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Caixa Seguros</w:t>
            </w:r>
          </w:p>
        </w:tc>
        <w:tc>
          <w:tcPr>
            <w:tcW w:w="1500" w:type="dxa"/>
            <w:tcBorders>
              <w:top w:val="nil"/>
              <w:left w:val="nil"/>
              <w:bottom w:val="single" w:sz="4" w:space="0" w:color="auto"/>
              <w:right w:val="nil"/>
            </w:tcBorders>
            <w:shd w:val="clear" w:color="auto" w:fill="auto"/>
            <w:noWrap/>
            <w:vAlign w:val="bottom"/>
            <w:hideMark/>
          </w:tcPr>
          <w:p w14:paraId="077A8C9D"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169.651 </w:t>
            </w:r>
          </w:p>
        </w:tc>
        <w:tc>
          <w:tcPr>
            <w:tcW w:w="1594" w:type="dxa"/>
            <w:tcBorders>
              <w:top w:val="nil"/>
              <w:left w:val="nil"/>
              <w:bottom w:val="single" w:sz="4" w:space="0" w:color="auto"/>
              <w:right w:val="nil"/>
            </w:tcBorders>
            <w:shd w:val="clear" w:color="auto" w:fill="auto"/>
            <w:noWrap/>
            <w:vAlign w:val="bottom"/>
            <w:hideMark/>
          </w:tcPr>
          <w:p w14:paraId="0371219B" w14:textId="77777777" w:rsidR="0077605E" w:rsidRPr="00141C43" w:rsidRDefault="0077605E" w:rsidP="0077605E">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165.822 </w:t>
            </w:r>
          </w:p>
        </w:tc>
        <w:tc>
          <w:tcPr>
            <w:tcW w:w="1660" w:type="dxa"/>
            <w:tcBorders>
              <w:top w:val="nil"/>
              <w:left w:val="nil"/>
              <w:bottom w:val="single" w:sz="4" w:space="0" w:color="auto"/>
              <w:right w:val="nil"/>
            </w:tcBorders>
            <w:shd w:val="clear" w:color="auto" w:fill="auto"/>
            <w:noWrap/>
            <w:vAlign w:val="bottom"/>
            <w:hideMark/>
          </w:tcPr>
          <w:p w14:paraId="2622DE20" w14:textId="77777777" w:rsidR="0077605E" w:rsidRPr="00141C43" w:rsidRDefault="0077605E" w:rsidP="0077605E">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-2,26%</w:t>
            </w:r>
          </w:p>
        </w:tc>
      </w:tr>
      <w:tr w:rsidR="0077605E" w:rsidRPr="00141C43" w14:paraId="29B96BC6" w14:textId="77777777" w:rsidTr="00102A50">
        <w:trPr>
          <w:trHeight w:val="330"/>
        </w:trPr>
        <w:tc>
          <w:tcPr>
            <w:tcW w:w="2580" w:type="dxa"/>
            <w:tcBorders>
              <w:top w:val="single" w:sz="4" w:space="0" w:color="auto"/>
              <w:left w:val="nil"/>
              <w:bottom w:val="single" w:sz="4" w:space="0" w:color="auto"/>
              <w:right w:val="nil"/>
            </w:tcBorders>
            <w:shd w:val="clear" w:color="auto" w:fill="auto"/>
            <w:noWrap/>
            <w:vAlign w:val="bottom"/>
            <w:hideMark/>
          </w:tcPr>
          <w:p w14:paraId="5B10622B" w14:textId="77777777" w:rsidR="0077605E" w:rsidRPr="00141C43" w:rsidRDefault="0077605E" w:rsidP="0077605E">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w:t>
            </w:r>
          </w:p>
        </w:tc>
        <w:tc>
          <w:tcPr>
            <w:tcW w:w="1500" w:type="dxa"/>
            <w:tcBorders>
              <w:top w:val="single" w:sz="4" w:space="0" w:color="auto"/>
              <w:left w:val="nil"/>
              <w:bottom w:val="single" w:sz="4" w:space="0" w:color="auto"/>
              <w:right w:val="nil"/>
            </w:tcBorders>
            <w:shd w:val="clear" w:color="auto" w:fill="auto"/>
            <w:noWrap/>
            <w:vAlign w:val="bottom"/>
            <w:hideMark/>
          </w:tcPr>
          <w:p w14:paraId="1E92E743" w14:textId="77777777" w:rsidR="0077605E" w:rsidRPr="00141C43" w:rsidRDefault="0077605E" w:rsidP="0077605E">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326.305.523 </w:t>
            </w:r>
          </w:p>
        </w:tc>
        <w:tc>
          <w:tcPr>
            <w:tcW w:w="1594" w:type="dxa"/>
            <w:tcBorders>
              <w:top w:val="single" w:sz="4" w:space="0" w:color="auto"/>
              <w:left w:val="nil"/>
              <w:bottom w:val="single" w:sz="4" w:space="0" w:color="auto"/>
              <w:right w:val="nil"/>
            </w:tcBorders>
            <w:shd w:val="clear" w:color="auto" w:fill="auto"/>
            <w:noWrap/>
            <w:vAlign w:val="bottom"/>
            <w:hideMark/>
          </w:tcPr>
          <w:p w14:paraId="04BEAE70" w14:textId="77777777" w:rsidR="0077605E" w:rsidRPr="00141C43" w:rsidRDefault="0077605E" w:rsidP="0077605E">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327.214.705 </w:t>
            </w:r>
          </w:p>
        </w:tc>
        <w:tc>
          <w:tcPr>
            <w:tcW w:w="1660" w:type="dxa"/>
            <w:tcBorders>
              <w:top w:val="single" w:sz="4" w:space="0" w:color="auto"/>
              <w:left w:val="nil"/>
              <w:bottom w:val="single" w:sz="4" w:space="0" w:color="auto"/>
              <w:right w:val="nil"/>
            </w:tcBorders>
            <w:shd w:val="clear" w:color="auto" w:fill="auto"/>
            <w:noWrap/>
            <w:vAlign w:val="bottom"/>
            <w:hideMark/>
          </w:tcPr>
          <w:p w14:paraId="2236C1E6" w14:textId="77777777" w:rsidR="0077605E" w:rsidRPr="00141C43" w:rsidRDefault="0077605E" w:rsidP="0077605E">
            <w:pPr>
              <w:spacing w:after="0" w:line="240" w:lineRule="auto"/>
              <w:jc w:val="right"/>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0,28%</w:t>
            </w:r>
          </w:p>
        </w:tc>
      </w:tr>
    </w:tbl>
    <w:p w14:paraId="066B0B80" w14:textId="77777777" w:rsidR="005269C2" w:rsidRDefault="005269C2" w:rsidP="00136F51">
      <w:pPr>
        <w:spacing w:before="120" w:after="120" w:line="360" w:lineRule="auto"/>
        <w:ind w:firstLine="709"/>
        <w:jc w:val="both"/>
        <w:rPr>
          <w:rFonts w:ascii="Times New Roman" w:hAnsi="Times New Roman" w:cs="Times New Roman"/>
          <w:sz w:val="24"/>
          <w:szCs w:val="24"/>
        </w:rPr>
      </w:pPr>
    </w:p>
    <w:p w14:paraId="4ADB547A" w14:textId="004C33C7" w:rsidR="00093F68" w:rsidRPr="00141C43" w:rsidRDefault="000B7B39" w:rsidP="00136F5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Segundo a </w:t>
      </w:r>
      <w:r w:rsidR="00047C96">
        <w:rPr>
          <w:rFonts w:ascii="Times New Roman" w:hAnsi="Times New Roman" w:cs="Times New Roman"/>
          <w:sz w:val="24"/>
          <w:szCs w:val="24"/>
        </w:rPr>
        <w:t>tabela 6</w:t>
      </w:r>
      <w:r w:rsidRPr="00141C43">
        <w:rPr>
          <w:rFonts w:ascii="Times New Roman" w:hAnsi="Times New Roman" w:cs="Times New Roman"/>
          <w:sz w:val="24"/>
          <w:szCs w:val="24"/>
        </w:rPr>
        <w:t>,</w:t>
      </w:r>
      <w:r w:rsidR="00093F68" w:rsidRPr="00141C43">
        <w:rPr>
          <w:rFonts w:ascii="Times New Roman" w:hAnsi="Times New Roman" w:cs="Times New Roman"/>
          <w:sz w:val="24"/>
          <w:szCs w:val="24"/>
        </w:rPr>
        <w:t xml:space="preserve"> as </w:t>
      </w:r>
      <w:r w:rsidR="003B032D">
        <w:rPr>
          <w:rFonts w:ascii="Times New Roman" w:hAnsi="Times New Roman" w:cs="Times New Roman"/>
          <w:sz w:val="24"/>
          <w:szCs w:val="24"/>
        </w:rPr>
        <w:t xml:space="preserve">cinco maiores </w:t>
      </w:r>
      <w:r w:rsidR="00093F68" w:rsidRPr="00141C43">
        <w:rPr>
          <w:rFonts w:ascii="Times New Roman" w:hAnsi="Times New Roman" w:cs="Times New Roman"/>
          <w:sz w:val="24"/>
          <w:szCs w:val="24"/>
        </w:rPr>
        <w:t>seguradoras brasileiras apresentam diferentes gerenciamentos de riscos em sua carteira</w:t>
      </w:r>
      <w:r w:rsidRPr="00141C43">
        <w:rPr>
          <w:rFonts w:ascii="Times New Roman" w:hAnsi="Times New Roman" w:cs="Times New Roman"/>
          <w:sz w:val="24"/>
          <w:szCs w:val="24"/>
        </w:rPr>
        <w:t>. Verifica-se</w:t>
      </w:r>
      <w:r w:rsidR="00093F68" w:rsidRPr="00141C43">
        <w:rPr>
          <w:rFonts w:ascii="Times New Roman" w:hAnsi="Times New Roman" w:cs="Times New Roman"/>
          <w:sz w:val="24"/>
          <w:szCs w:val="24"/>
        </w:rPr>
        <w:t xml:space="preserve"> que as </w:t>
      </w:r>
      <w:r w:rsidRPr="00141C43">
        <w:rPr>
          <w:rFonts w:ascii="Times New Roman" w:hAnsi="Times New Roman" w:cs="Times New Roman"/>
          <w:sz w:val="24"/>
          <w:szCs w:val="24"/>
        </w:rPr>
        <w:t>três</w:t>
      </w:r>
      <w:r w:rsidR="00093F68" w:rsidRPr="00141C43">
        <w:rPr>
          <w:rFonts w:ascii="Times New Roman" w:hAnsi="Times New Roman" w:cs="Times New Roman"/>
          <w:sz w:val="24"/>
          <w:szCs w:val="24"/>
        </w:rPr>
        <w:t xml:space="preserve"> primeiras classificadas no ranking não </w:t>
      </w:r>
      <w:r w:rsidRPr="00141C43">
        <w:rPr>
          <w:rFonts w:ascii="Times New Roman" w:hAnsi="Times New Roman" w:cs="Times New Roman"/>
          <w:sz w:val="24"/>
          <w:szCs w:val="24"/>
        </w:rPr>
        <w:t>terão</w:t>
      </w:r>
      <w:r w:rsidR="00093F68" w:rsidRPr="00141C43">
        <w:rPr>
          <w:rFonts w:ascii="Times New Roman" w:hAnsi="Times New Roman" w:cs="Times New Roman"/>
          <w:sz w:val="24"/>
          <w:szCs w:val="24"/>
        </w:rPr>
        <w:t xml:space="preserve"> um impacto </w:t>
      </w:r>
      <w:r w:rsidR="00F502DA">
        <w:rPr>
          <w:rFonts w:ascii="Times New Roman" w:hAnsi="Times New Roman" w:cs="Times New Roman"/>
          <w:sz w:val="24"/>
          <w:szCs w:val="24"/>
        </w:rPr>
        <w:t>relevante</w:t>
      </w:r>
      <w:r w:rsidR="003B032D">
        <w:rPr>
          <w:rFonts w:ascii="Times New Roman" w:hAnsi="Times New Roman" w:cs="Times New Roman"/>
          <w:sz w:val="24"/>
          <w:szCs w:val="24"/>
        </w:rPr>
        <w:t>, porém as duas últimas terão impacto relevante conforme a margem estabelecida</w:t>
      </w:r>
      <w:r w:rsidRPr="00141C43">
        <w:rPr>
          <w:rFonts w:ascii="Times New Roman" w:hAnsi="Times New Roman" w:cs="Times New Roman"/>
          <w:sz w:val="24"/>
          <w:szCs w:val="24"/>
        </w:rPr>
        <w:t>. Todavia, ao analisar</w:t>
      </w:r>
      <w:r w:rsidR="00093F68" w:rsidRPr="00141C43">
        <w:rPr>
          <w:rFonts w:ascii="Times New Roman" w:hAnsi="Times New Roman" w:cs="Times New Roman"/>
          <w:sz w:val="24"/>
          <w:szCs w:val="24"/>
        </w:rPr>
        <w:t xml:space="preserve"> o mercado segurador utilizando as </w:t>
      </w:r>
      <w:r w:rsidRPr="00141C43">
        <w:rPr>
          <w:rFonts w:ascii="Times New Roman" w:hAnsi="Times New Roman" w:cs="Times New Roman"/>
          <w:sz w:val="24"/>
          <w:szCs w:val="24"/>
        </w:rPr>
        <w:t>cinco</w:t>
      </w:r>
      <w:r w:rsidR="00093F68" w:rsidRPr="00141C43">
        <w:rPr>
          <w:rFonts w:ascii="Times New Roman" w:hAnsi="Times New Roman" w:cs="Times New Roman"/>
          <w:sz w:val="24"/>
          <w:szCs w:val="24"/>
        </w:rPr>
        <w:t xml:space="preserve"> maiores</w:t>
      </w:r>
      <w:r w:rsidRPr="00141C43">
        <w:rPr>
          <w:rFonts w:ascii="Times New Roman" w:hAnsi="Times New Roman" w:cs="Times New Roman"/>
          <w:sz w:val="24"/>
          <w:szCs w:val="24"/>
        </w:rPr>
        <w:t>,</w:t>
      </w:r>
      <w:r w:rsidR="00093F68" w:rsidRPr="00141C43">
        <w:rPr>
          <w:rFonts w:ascii="Times New Roman" w:hAnsi="Times New Roman" w:cs="Times New Roman"/>
          <w:sz w:val="24"/>
          <w:szCs w:val="24"/>
        </w:rPr>
        <w:t xml:space="preserve"> </w:t>
      </w:r>
      <w:r w:rsidR="00F502DA">
        <w:rPr>
          <w:rFonts w:ascii="Times New Roman" w:hAnsi="Times New Roman" w:cs="Times New Roman"/>
          <w:sz w:val="24"/>
          <w:szCs w:val="24"/>
        </w:rPr>
        <w:t>o impacto na</w:t>
      </w:r>
      <w:r w:rsidR="0077605E" w:rsidRPr="00141C43">
        <w:rPr>
          <w:rFonts w:ascii="Times New Roman" w:hAnsi="Times New Roman" w:cs="Times New Roman"/>
          <w:sz w:val="24"/>
          <w:szCs w:val="24"/>
        </w:rPr>
        <w:t xml:space="preserve"> rentabilidade do mercado seria positiv</w:t>
      </w:r>
      <w:r w:rsidR="005D5B09" w:rsidRPr="00141C43">
        <w:rPr>
          <w:rFonts w:ascii="Times New Roman" w:hAnsi="Times New Roman" w:cs="Times New Roman"/>
          <w:sz w:val="24"/>
          <w:szCs w:val="24"/>
        </w:rPr>
        <w:t>a,</w:t>
      </w:r>
      <w:r w:rsidR="0077605E" w:rsidRPr="00141C43">
        <w:rPr>
          <w:rFonts w:ascii="Times New Roman" w:hAnsi="Times New Roman" w:cs="Times New Roman"/>
          <w:sz w:val="24"/>
          <w:szCs w:val="24"/>
        </w:rPr>
        <w:t xml:space="preserve"> em 0,28%.</w:t>
      </w:r>
    </w:p>
    <w:p w14:paraId="72C42EC8" w14:textId="596ABA96" w:rsidR="008F563B" w:rsidRPr="00141C43" w:rsidRDefault="005B2B8B" w:rsidP="00136F5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N</w:t>
      </w:r>
      <w:r w:rsidR="000A532C" w:rsidRPr="00141C43">
        <w:rPr>
          <w:rFonts w:ascii="Times New Roman" w:hAnsi="Times New Roman" w:cs="Times New Roman"/>
          <w:sz w:val="24"/>
          <w:szCs w:val="24"/>
        </w:rPr>
        <w:t>a tabela</w:t>
      </w:r>
      <w:r w:rsidR="00047C96">
        <w:rPr>
          <w:rFonts w:ascii="Times New Roman" w:hAnsi="Times New Roman" w:cs="Times New Roman"/>
          <w:sz w:val="24"/>
          <w:szCs w:val="24"/>
        </w:rPr>
        <w:t xml:space="preserve"> 6</w:t>
      </w:r>
      <w:r w:rsidR="005D5B09" w:rsidRPr="00141C43">
        <w:rPr>
          <w:rFonts w:ascii="Times New Roman" w:hAnsi="Times New Roman" w:cs="Times New Roman"/>
          <w:sz w:val="24"/>
          <w:szCs w:val="24"/>
        </w:rPr>
        <w:t>,</w:t>
      </w:r>
      <w:r w:rsidRPr="00141C43">
        <w:rPr>
          <w:rFonts w:ascii="Times New Roman" w:hAnsi="Times New Roman" w:cs="Times New Roman"/>
          <w:sz w:val="24"/>
          <w:szCs w:val="24"/>
        </w:rPr>
        <w:t xml:space="preserve"> fo</w:t>
      </w:r>
      <w:r w:rsidR="0020136C" w:rsidRPr="00141C43">
        <w:rPr>
          <w:rFonts w:ascii="Times New Roman" w:hAnsi="Times New Roman" w:cs="Times New Roman"/>
          <w:sz w:val="24"/>
          <w:szCs w:val="24"/>
        </w:rPr>
        <w:t>ram</w:t>
      </w:r>
      <w:r w:rsidRPr="00141C43">
        <w:rPr>
          <w:rFonts w:ascii="Times New Roman" w:hAnsi="Times New Roman" w:cs="Times New Roman"/>
          <w:sz w:val="24"/>
          <w:szCs w:val="24"/>
        </w:rPr>
        <w:t xml:space="preserve"> colocado</w:t>
      </w:r>
      <w:r w:rsidR="0020136C" w:rsidRPr="00141C43">
        <w:rPr>
          <w:rFonts w:ascii="Times New Roman" w:hAnsi="Times New Roman" w:cs="Times New Roman"/>
          <w:sz w:val="24"/>
          <w:szCs w:val="24"/>
        </w:rPr>
        <w:t>s</w:t>
      </w:r>
      <w:r w:rsidRPr="00141C43">
        <w:rPr>
          <w:rFonts w:ascii="Times New Roman" w:hAnsi="Times New Roman" w:cs="Times New Roman"/>
          <w:sz w:val="24"/>
          <w:szCs w:val="24"/>
        </w:rPr>
        <w:t xml:space="preserve"> os </w:t>
      </w:r>
      <w:proofErr w:type="spellStart"/>
      <w:r w:rsidR="0020136C" w:rsidRPr="00141C43">
        <w:rPr>
          <w:rFonts w:ascii="Times New Roman" w:hAnsi="Times New Roman" w:cs="Times New Roman"/>
          <w:sz w:val="24"/>
          <w:szCs w:val="24"/>
        </w:rPr>
        <w:t>TVM´s</w:t>
      </w:r>
      <w:proofErr w:type="spellEnd"/>
      <w:r w:rsidR="0020136C" w:rsidRPr="00141C43">
        <w:rPr>
          <w:rFonts w:ascii="Times New Roman" w:hAnsi="Times New Roman" w:cs="Times New Roman"/>
          <w:sz w:val="24"/>
          <w:szCs w:val="24"/>
        </w:rPr>
        <w:t xml:space="preserve"> de modo que</w:t>
      </w:r>
      <w:r w:rsidRPr="00141C43">
        <w:rPr>
          <w:rFonts w:ascii="Times New Roman" w:hAnsi="Times New Roman" w:cs="Times New Roman"/>
          <w:sz w:val="24"/>
          <w:szCs w:val="24"/>
        </w:rPr>
        <w:t xml:space="preserve"> a conta de aplicações financeiras </w:t>
      </w:r>
      <w:r w:rsidR="0072304A" w:rsidRPr="00141C43">
        <w:rPr>
          <w:rFonts w:ascii="Times New Roman" w:hAnsi="Times New Roman" w:cs="Times New Roman"/>
          <w:sz w:val="24"/>
          <w:szCs w:val="24"/>
        </w:rPr>
        <w:t>apresenta</w:t>
      </w:r>
      <w:r w:rsidR="0062560F" w:rsidRPr="00141C43">
        <w:rPr>
          <w:rFonts w:ascii="Times New Roman" w:hAnsi="Times New Roman" w:cs="Times New Roman"/>
          <w:sz w:val="24"/>
          <w:szCs w:val="24"/>
        </w:rPr>
        <w:t>sse</w:t>
      </w:r>
      <w:r w:rsidRPr="00141C43">
        <w:rPr>
          <w:rFonts w:ascii="Times New Roman" w:hAnsi="Times New Roman" w:cs="Times New Roman"/>
          <w:sz w:val="24"/>
          <w:szCs w:val="24"/>
        </w:rPr>
        <w:t xml:space="preserve"> todas as classificações de forma sintética</w:t>
      </w:r>
      <w:r w:rsidR="005D5B09" w:rsidRPr="00141C43">
        <w:rPr>
          <w:rFonts w:ascii="Times New Roman" w:hAnsi="Times New Roman" w:cs="Times New Roman"/>
          <w:sz w:val="24"/>
          <w:szCs w:val="24"/>
        </w:rPr>
        <w:t xml:space="preserve">. Em razão disso, </w:t>
      </w:r>
      <w:r w:rsidR="00052BB6">
        <w:rPr>
          <w:rFonts w:ascii="Times New Roman" w:hAnsi="Times New Roman" w:cs="Times New Roman"/>
          <w:sz w:val="24"/>
          <w:szCs w:val="24"/>
        </w:rPr>
        <w:t>foi elaborada</w:t>
      </w:r>
      <w:r w:rsidRPr="00141C43">
        <w:rPr>
          <w:rFonts w:ascii="Times New Roman" w:hAnsi="Times New Roman" w:cs="Times New Roman"/>
          <w:sz w:val="24"/>
          <w:szCs w:val="24"/>
        </w:rPr>
        <w:t xml:space="preserve"> </w:t>
      </w:r>
      <w:r w:rsidR="00052BB6">
        <w:rPr>
          <w:rFonts w:ascii="Times New Roman" w:hAnsi="Times New Roman" w:cs="Times New Roman"/>
          <w:sz w:val="24"/>
          <w:szCs w:val="24"/>
        </w:rPr>
        <w:t>uma tabela</w:t>
      </w:r>
      <w:r w:rsidRPr="00141C43">
        <w:rPr>
          <w:rFonts w:ascii="Times New Roman" w:hAnsi="Times New Roman" w:cs="Times New Roman"/>
          <w:sz w:val="24"/>
          <w:szCs w:val="24"/>
        </w:rPr>
        <w:t xml:space="preserve"> com a classificação de mantidos até o vencimento para demonstrar o impacto de forma analítica</w:t>
      </w:r>
      <w:r w:rsidR="005D5B09" w:rsidRPr="00141C43">
        <w:rPr>
          <w:rFonts w:ascii="Times New Roman" w:hAnsi="Times New Roman" w:cs="Times New Roman"/>
          <w:sz w:val="24"/>
          <w:szCs w:val="24"/>
        </w:rPr>
        <w:t>; isto é, s</w:t>
      </w:r>
      <w:r w:rsidRPr="00141C43">
        <w:rPr>
          <w:rFonts w:ascii="Times New Roman" w:hAnsi="Times New Roman" w:cs="Times New Roman"/>
          <w:sz w:val="24"/>
          <w:szCs w:val="24"/>
        </w:rPr>
        <w:t>omente para os títulos mantidos até o vencimento</w:t>
      </w:r>
      <w:r w:rsidR="000D266A" w:rsidRPr="00141C43">
        <w:rPr>
          <w:rFonts w:ascii="Times New Roman" w:hAnsi="Times New Roman" w:cs="Times New Roman"/>
          <w:sz w:val="24"/>
          <w:szCs w:val="24"/>
        </w:rPr>
        <w:t xml:space="preserve"> mensurados no IAS39 pelo custo amortizado</w:t>
      </w:r>
      <w:r w:rsidRPr="00141C43">
        <w:rPr>
          <w:rFonts w:ascii="Times New Roman" w:hAnsi="Times New Roman" w:cs="Times New Roman"/>
          <w:sz w:val="24"/>
          <w:szCs w:val="24"/>
        </w:rPr>
        <w:t xml:space="preserve">. </w:t>
      </w:r>
      <w:r w:rsidR="000A532C" w:rsidRPr="00141C43">
        <w:rPr>
          <w:rFonts w:ascii="Times New Roman" w:hAnsi="Times New Roman" w:cs="Times New Roman"/>
          <w:sz w:val="24"/>
          <w:szCs w:val="24"/>
        </w:rPr>
        <w:t>A</w:t>
      </w:r>
      <w:r w:rsidRPr="00141C43">
        <w:rPr>
          <w:rFonts w:ascii="Times New Roman" w:hAnsi="Times New Roman" w:cs="Times New Roman"/>
          <w:sz w:val="24"/>
          <w:szCs w:val="24"/>
        </w:rPr>
        <w:t xml:space="preserve"> </w:t>
      </w:r>
      <w:r w:rsidR="006273D0" w:rsidRPr="00141C43">
        <w:rPr>
          <w:rFonts w:ascii="Times New Roman" w:hAnsi="Times New Roman" w:cs="Times New Roman"/>
          <w:sz w:val="24"/>
          <w:szCs w:val="24"/>
        </w:rPr>
        <w:t>tabela</w:t>
      </w:r>
      <w:r w:rsidR="00047C96">
        <w:rPr>
          <w:rFonts w:ascii="Times New Roman" w:hAnsi="Times New Roman" w:cs="Times New Roman"/>
          <w:sz w:val="24"/>
          <w:szCs w:val="24"/>
        </w:rPr>
        <w:t xml:space="preserve"> 7</w:t>
      </w:r>
      <w:r w:rsidR="005D5B09" w:rsidRPr="00141C43">
        <w:rPr>
          <w:rFonts w:ascii="Times New Roman" w:hAnsi="Times New Roman" w:cs="Times New Roman"/>
          <w:sz w:val="24"/>
          <w:szCs w:val="24"/>
        </w:rPr>
        <w:t>, adiante,</w:t>
      </w:r>
      <w:r w:rsidRPr="00141C43">
        <w:rPr>
          <w:rFonts w:ascii="Times New Roman" w:hAnsi="Times New Roman" w:cs="Times New Roman"/>
          <w:sz w:val="24"/>
          <w:szCs w:val="24"/>
        </w:rPr>
        <w:t xml:space="preserve"> demonstra es</w:t>
      </w:r>
      <w:r w:rsidR="005D5B09" w:rsidRPr="00141C43">
        <w:rPr>
          <w:rFonts w:ascii="Times New Roman" w:hAnsi="Times New Roman" w:cs="Times New Roman"/>
          <w:sz w:val="24"/>
          <w:szCs w:val="24"/>
        </w:rPr>
        <w:t>s</w:t>
      </w:r>
      <w:r w:rsidRPr="00141C43">
        <w:rPr>
          <w:rFonts w:ascii="Times New Roman" w:hAnsi="Times New Roman" w:cs="Times New Roman"/>
          <w:sz w:val="24"/>
          <w:szCs w:val="24"/>
        </w:rPr>
        <w:t>e efeito</w:t>
      </w:r>
      <w:r w:rsidR="005D5B09" w:rsidRPr="00141C43">
        <w:rPr>
          <w:rFonts w:ascii="Times New Roman" w:hAnsi="Times New Roman" w:cs="Times New Roman"/>
          <w:sz w:val="24"/>
          <w:szCs w:val="24"/>
        </w:rPr>
        <w:t>:</w:t>
      </w:r>
    </w:p>
    <w:p w14:paraId="152BB0F7" w14:textId="77777777" w:rsidR="00340BD0" w:rsidRDefault="00340BD0" w:rsidP="006273D0">
      <w:pPr>
        <w:spacing w:after="0" w:line="240" w:lineRule="auto"/>
        <w:ind w:firstLine="709"/>
        <w:jc w:val="both"/>
        <w:rPr>
          <w:rFonts w:ascii="Times New Roman" w:hAnsi="Times New Roman" w:cs="Times New Roman"/>
          <w:sz w:val="24"/>
          <w:szCs w:val="24"/>
        </w:rPr>
      </w:pPr>
    </w:p>
    <w:p w14:paraId="723A59AE" w14:textId="77777777" w:rsidR="00340BD0" w:rsidRDefault="00340BD0" w:rsidP="006273D0">
      <w:pPr>
        <w:spacing w:after="0" w:line="240" w:lineRule="auto"/>
        <w:ind w:firstLine="709"/>
        <w:jc w:val="both"/>
        <w:rPr>
          <w:rFonts w:ascii="Times New Roman" w:hAnsi="Times New Roman" w:cs="Times New Roman"/>
          <w:sz w:val="24"/>
          <w:szCs w:val="24"/>
        </w:rPr>
      </w:pPr>
    </w:p>
    <w:p w14:paraId="0D7490C3" w14:textId="77777777" w:rsidR="00340BD0" w:rsidRDefault="00340BD0" w:rsidP="006273D0">
      <w:pPr>
        <w:spacing w:after="0" w:line="240" w:lineRule="auto"/>
        <w:ind w:firstLine="709"/>
        <w:jc w:val="both"/>
        <w:rPr>
          <w:rFonts w:ascii="Times New Roman" w:hAnsi="Times New Roman" w:cs="Times New Roman"/>
          <w:sz w:val="24"/>
          <w:szCs w:val="24"/>
        </w:rPr>
      </w:pPr>
    </w:p>
    <w:p w14:paraId="3FD6B19F" w14:textId="77777777" w:rsidR="00340BD0" w:rsidRDefault="00340BD0" w:rsidP="006273D0">
      <w:pPr>
        <w:spacing w:after="0" w:line="240" w:lineRule="auto"/>
        <w:ind w:firstLine="709"/>
        <w:jc w:val="both"/>
        <w:rPr>
          <w:rFonts w:ascii="Times New Roman" w:hAnsi="Times New Roman" w:cs="Times New Roman"/>
          <w:sz w:val="24"/>
          <w:szCs w:val="24"/>
        </w:rPr>
      </w:pPr>
    </w:p>
    <w:p w14:paraId="494F08F7" w14:textId="77777777" w:rsidR="00340BD0" w:rsidRDefault="00340BD0" w:rsidP="006273D0">
      <w:pPr>
        <w:spacing w:after="0" w:line="240" w:lineRule="auto"/>
        <w:ind w:firstLine="709"/>
        <w:jc w:val="both"/>
        <w:rPr>
          <w:rFonts w:ascii="Times New Roman" w:hAnsi="Times New Roman" w:cs="Times New Roman"/>
          <w:sz w:val="24"/>
          <w:szCs w:val="24"/>
        </w:rPr>
      </w:pPr>
    </w:p>
    <w:p w14:paraId="2C642900" w14:textId="77777777" w:rsidR="00340BD0" w:rsidRDefault="00340BD0" w:rsidP="006273D0">
      <w:pPr>
        <w:spacing w:after="0" w:line="240" w:lineRule="auto"/>
        <w:ind w:firstLine="709"/>
        <w:jc w:val="both"/>
        <w:rPr>
          <w:rFonts w:ascii="Times New Roman" w:hAnsi="Times New Roman" w:cs="Times New Roman"/>
          <w:sz w:val="24"/>
          <w:szCs w:val="24"/>
        </w:rPr>
      </w:pPr>
    </w:p>
    <w:p w14:paraId="17E9C814" w14:textId="77777777" w:rsidR="00340BD0" w:rsidRDefault="00340BD0" w:rsidP="006273D0">
      <w:pPr>
        <w:spacing w:after="0" w:line="240" w:lineRule="auto"/>
        <w:ind w:firstLine="709"/>
        <w:jc w:val="both"/>
        <w:rPr>
          <w:rFonts w:ascii="Times New Roman" w:hAnsi="Times New Roman" w:cs="Times New Roman"/>
          <w:sz w:val="24"/>
          <w:szCs w:val="24"/>
        </w:rPr>
      </w:pPr>
    </w:p>
    <w:p w14:paraId="6B439AB3" w14:textId="738A3395" w:rsidR="006273D0" w:rsidRPr="00141C43" w:rsidRDefault="006273D0" w:rsidP="006273D0">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 xml:space="preserve">Tabela </w:t>
      </w:r>
      <w:r w:rsidR="00047C96">
        <w:rPr>
          <w:rFonts w:ascii="Times New Roman" w:hAnsi="Times New Roman" w:cs="Times New Roman"/>
          <w:sz w:val="24"/>
          <w:szCs w:val="24"/>
        </w:rPr>
        <w:t>7</w:t>
      </w:r>
    </w:p>
    <w:p w14:paraId="1B92C289" w14:textId="77777777" w:rsidR="00482D3D" w:rsidRPr="00141C43" w:rsidRDefault="00482D3D" w:rsidP="006273D0">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Reclassificação dos títulos mantidos até o vencimento em 2015</w:t>
      </w:r>
    </w:p>
    <w:tbl>
      <w:tblPr>
        <w:tblW w:w="7334" w:type="dxa"/>
        <w:tblInd w:w="779" w:type="dxa"/>
        <w:tblCellMar>
          <w:left w:w="70" w:type="dxa"/>
          <w:right w:w="70" w:type="dxa"/>
        </w:tblCellMar>
        <w:tblLook w:val="04A0" w:firstRow="1" w:lastRow="0" w:firstColumn="1" w:lastColumn="0" w:noHBand="0" w:noVBand="1"/>
      </w:tblPr>
      <w:tblGrid>
        <w:gridCol w:w="2580"/>
        <w:gridCol w:w="1500"/>
        <w:gridCol w:w="1594"/>
        <w:gridCol w:w="1660"/>
      </w:tblGrid>
      <w:tr w:rsidR="00482D3D" w:rsidRPr="00141C43" w14:paraId="0E6D4F5E" w14:textId="77777777" w:rsidTr="006273D0">
        <w:trPr>
          <w:trHeight w:val="330"/>
        </w:trPr>
        <w:tc>
          <w:tcPr>
            <w:tcW w:w="2580" w:type="dxa"/>
            <w:tcBorders>
              <w:top w:val="single" w:sz="4" w:space="0" w:color="auto"/>
              <w:left w:val="nil"/>
              <w:bottom w:val="single" w:sz="4" w:space="0" w:color="auto"/>
              <w:right w:val="nil"/>
            </w:tcBorders>
            <w:shd w:val="clear" w:color="auto" w:fill="auto"/>
            <w:noWrap/>
            <w:vAlign w:val="bottom"/>
            <w:hideMark/>
          </w:tcPr>
          <w:p w14:paraId="683DBED5" w14:textId="77777777" w:rsidR="00482D3D" w:rsidRPr="00141C43" w:rsidRDefault="00482D3D" w:rsidP="00482D3D">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Seguradora</w:t>
            </w:r>
          </w:p>
        </w:tc>
        <w:tc>
          <w:tcPr>
            <w:tcW w:w="1500" w:type="dxa"/>
            <w:tcBorders>
              <w:top w:val="single" w:sz="4" w:space="0" w:color="auto"/>
              <w:left w:val="nil"/>
              <w:bottom w:val="single" w:sz="4" w:space="0" w:color="auto"/>
              <w:right w:val="nil"/>
            </w:tcBorders>
            <w:shd w:val="clear" w:color="auto" w:fill="auto"/>
            <w:noWrap/>
            <w:vAlign w:val="bottom"/>
            <w:hideMark/>
          </w:tcPr>
          <w:p w14:paraId="23CEF302" w14:textId="77777777" w:rsidR="00482D3D" w:rsidRPr="00141C43" w:rsidRDefault="00482D3D" w:rsidP="00482D3D">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2015</w:t>
            </w:r>
          </w:p>
        </w:tc>
        <w:tc>
          <w:tcPr>
            <w:tcW w:w="1594" w:type="dxa"/>
            <w:tcBorders>
              <w:top w:val="single" w:sz="4" w:space="0" w:color="auto"/>
              <w:left w:val="nil"/>
              <w:bottom w:val="single" w:sz="4" w:space="0" w:color="auto"/>
              <w:right w:val="nil"/>
            </w:tcBorders>
            <w:shd w:val="clear" w:color="auto" w:fill="auto"/>
            <w:noWrap/>
            <w:vAlign w:val="bottom"/>
            <w:hideMark/>
          </w:tcPr>
          <w:p w14:paraId="554D5058" w14:textId="77777777" w:rsidR="00482D3D" w:rsidRPr="00141C43" w:rsidRDefault="00482D3D" w:rsidP="00482D3D">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Reclassificada</w:t>
            </w:r>
          </w:p>
        </w:tc>
        <w:tc>
          <w:tcPr>
            <w:tcW w:w="1660" w:type="dxa"/>
            <w:tcBorders>
              <w:top w:val="single" w:sz="4" w:space="0" w:color="auto"/>
              <w:left w:val="nil"/>
              <w:bottom w:val="single" w:sz="4" w:space="0" w:color="auto"/>
              <w:right w:val="nil"/>
            </w:tcBorders>
            <w:shd w:val="clear" w:color="auto" w:fill="auto"/>
            <w:noWrap/>
            <w:vAlign w:val="bottom"/>
            <w:hideMark/>
          </w:tcPr>
          <w:p w14:paraId="121017CA" w14:textId="77777777" w:rsidR="00482D3D" w:rsidRPr="00141C43" w:rsidRDefault="00482D3D" w:rsidP="00482D3D">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w:t>
            </w:r>
          </w:p>
        </w:tc>
      </w:tr>
      <w:tr w:rsidR="00482D3D" w:rsidRPr="00141C43" w14:paraId="65B8794A" w14:textId="77777777" w:rsidTr="006273D0">
        <w:trPr>
          <w:trHeight w:val="330"/>
        </w:trPr>
        <w:tc>
          <w:tcPr>
            <w:tcW w:w="2580" w:type="dxa"/>
            <w:tcBorders>
              <w:top w:val="single" w:sz="4" w:space="0" w:color="auto"/>
              <w:left w:val="nil"/>
              <w:bottom w:val="nil"/>
              <w:right w:val="nil"/>
            </w:tcBorders>
            <w:shd w:val="clear" w:color="auto" w:fill="auto"/>
            <w:noWrap/>
            <w:vAlign w:val="bottom"/>
            <w:hideMark/>
          </w:tcPr>
          <w:p w14:paraId="128A785B"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Bradesco Seguros</w:t>
            </w:r>
          </w:p>
        </w:tc>
        <w:tc>
          <w:tcPr>
            <w:tcW w:w="1500" w:type="dxa"/>
            <w:tcBorders>
              <w:top w:val="single" w:sz="4" w:space="0" w:color="auto"/>
              <w:left w:val="nil"/>
              <w:bottom w:val="nil"/>
              <w:right w:val="nil"/>
            </w:tcBorders>
            <w:shd w:val="clear" w:color="auto" w:fill="auto"/>
            <w:noWrap/>
            <w:vAlign w:val="bottom"/>
            <w:hideMark/>
          </w:tcPr>
          <w:p w14:paraId="6537FF2B"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27.404.997 </w:t>
            </w:r>
          </w:p>
        </w:tc>
        <w:tc>
          <w:tcPr>
            <w:tcW w:w="1594" w:type="dxa"/>
            <w:tcBorders>
              <w:top w:val="single" w:sz="4" w:space="0" w:color="auto"/>
              <w:left w:val="nil"/>
              <w:bottom w:val="nil"/>
              <w:right w:val="nil"/>
            </w:tcBorders>
            <w:shd w:val="clear" w:color="auto" w:fill="auto"/>
            <w:noWrap/>
            <w:vAlign w:val="bottom"/>
            <w:hideMark/>
          </w:tcPr>
          <w:p w14:paraId="3044F2BB"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27.344.365 </w:t>
            </w:r>
          </w:p>
        </w:tc>
        <w:tc>
          <w:tcPr>
            <w:tcW w:w="1660" w:type="dxa"/>
            <w:tcBorders>
              <w:top w:val="single" w:sz="4" w:space="0" w:color="auto"/>
              <w:left w:val="nil"/>
              <w:bottom w:val="nil"/>
              <w:right w:val="nil"/>
            </w:tcBorders>
            <w:shd w:val="clear" w:color="auto" w:fill="auto"/>
            <w:noWrap/>
            <w:vAlign w:val="bottom"/>
            <w:hideMark/>
          </w:tcPr>
          <w:p w14:paraId="6020CF2A" w14:textId="77777777" w:rsidR="00482D3D" w:rsidRPr="00141C43" w:rsidRDefault="00482D3D" w:rsidP="00482D3D">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-0,22%</w:t>
            </w:r>
          </w:p>
        </w:tc>
      </w:tr>
      <w:tr w:rsidR="00482D3D" w:rsidRPr="00141C43" w14:paraId="6CABA7B3" w14:textId="77777777" w:rsidTr="00482D3D">
        <w:trPr>
          <w:trHeight w:val="315"/>
        </w:trPr>
        <w:tc>
          <w:tcPr>
            <w:tcW w:w="2580" w:type="dxa"/>
            <w:tcBorders>
              <w:top w:val="nil"/>
              <w:left w:val="nil"/>
              <w:bottom w:val="nil"/>
              <w:right w:val="nil"/>
            </w:tcBorders>
            <w:shd w:val="clear" w:color="auto" w:fill="auto"/>
            <w:noWrap/>
            <w:vAlign w:val="bottom"/>
            <w:hideMark/>
          </w:tcPr>
          <w:p w14:paraId="7111EF76"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proofErr w:type="spellStart"/>
            <w:r w:rsidRPr="00141C43">
              <w:rPr>
                <w:rFonts w:ascii="Times New Roman" w:eastAsia="Times New Roman" w:hAnsi="Times New Roman" w:cs="Times New Roman"/>
                <w:color w:val="000000"/>
                <w:sz w:val="24"/>
                <w:szCs w:val="24"/>
                <w:lang w:eastAsia="pt-BR"/>
              </w:rPr>
              <w:t>Brasilprev</w:t>
            </w:r>
            <w:proofErr w:type="spellEnd"/>
          </w:p>
        </w:tc>
        <w:tc>
          <w:tcPr>
            <w:tcW w:w="1500" w:type="dxa"/>
            <w:tcBorders>
              <w:top w:val="nil"/>
              <w:left w:val="nil"/>
              <w:bottom w:val="nil"/>
              <w:right w:val="nil"/>
            </w:tcBorders>
            <w:shd w:val="clear" w:color="auto" w:fill="auto"/>
            <w:noWrap/>
            <w:vAlign w:val="bottom"/>
            <w:hideMark/>
          </w:tcPr>
          <w:p w14:paraId="581C6B11"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9.929.515 </w:t>
            </w:r>
          </w:p>
        </w:tc>
        <w:tc>
          <w:tcPr>
            <w:tcW w:w="1594" w:type="dxa"/>
            <w:tcBorders>
              <w:top w:val="nil"/>
              <w:left w:val="nil"/>
              <w:bottom w:val="nil"/>
              <w:right w:val="nil"/>
            </w:tcBorders>
            <w:shd w:val="clear" w:color="auto" w:fill="auto"/>
            <w:noWrap/>
            <w:vAlign w:val="bottom"/>
            <w:hideMark/>
          </w:tcPr>
          <w:p w14:paraId="554445EA"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10.725.245 </w:t>
            </w:r>
          </w:p>
        </w:tc>
        <w:tc>
          <w:tcPr>
            <w:tcW w:w="1660" w:type="dxa"/>
            <w:tcBorders>
              <w:top w:val="nil"/>
              <w:left w:val="nil"/>
              <w:bottom w:val="nil"/>
              <w:right w:val="nil"/>
            </w:tcBorders>
            <w:shd w:val="clear" w:color="auto" w:fill="auto"/>
            <w:noWrap/>
            <w:vAlign w:val="bottom"/>
            <w:hideMark/>
          </w:tcPr>
          <w:p w14:paraId="373AFA93" w14:textId="77777777" w:rsidR="00482D3D" w:rsidRPr="00141C43" w:rsidRDefault="00482D3D" w:rsidP="00482D3D">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8,01%</w:t>
            </w:r>
          </w:p>
        </w:tc>
      </w:tr>
      <w:tr w:rsidR="00482D3D" w:rsidRPr="00141C43" w14:paraId="14922DD0" w14:textId="77777777" w:rsidTr="00482D3D">
        <w:trPr>
          <w:trHeight w:val="315"/>
        </w:trPr>
        <w:tc>
          <w:tcPr>
            <w:tcW w:w="2580" w:type="dxa"/>
            <w:tcBorders>
              <w:top w:val="nil"/>
              <w:left w:val="nil"/>
              <w:bottom w:val="nil"/>
              <w:right w:val="nil"/>
            </w:tcBorders>
            <w:shd w:val="clear" w:color="auto" w:fill="auto"/>
            <w:noWrap/>
            <w:vAlign w:val="bottom"/>
            <w:hideMark/>
          </w:tcPr>
          <w:p w14:paraId="104D771D"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Itaú Seguros</w:t>
            </w:r>
          </w:p>
        </w:tc>
        <w:tc>
          <w:tcPr>
            <w:tcW w:w="1500" w:type="dxa"/>
            <w:tcBorders>
              <w:top w:val="nil"/>
              <w:left w:val="nil"/>
              <w:bottom w:val="nil"/>
              <w:right w:val="nil"/>
            </w:tcBorders>
            <w:shd w:val="clear" w:color="auto" w:fill="auto"/>
            <w:noWrap/>
            <w:vAlign w:val="bottom"/>
            <w:hideMark/>
          </w:tcPr>
          <w:p w14:paraId="06DF5B65"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3.607.416 </w:t>
            </w:r>
          </w:p>
        </w:tc>
        <w:tc>
          <w:tcPr>
            <w:tcW w:w="1594" w:type="dxa"/>
            <w:tcBorders>
              <w:top w:val="nil"/>
              <w:left w:val="nil"/>
              <w:bottom w:val="nil"/>
              <w:right w:val="nil"/>
            </w:tcBorders>
            <w:shd w:val="clear" w:color="auto" w:fill="auto"/>
            <w:noWrap/>
            <w:vAlign w:val="bottom"/>
            <w:hideMark/>
          </w:tcPr>
          <w:p w14:paraId="41C1EC96"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3.898.211 </w:t>
            </w:r>
          </w:p>
        </w:tc>
        <w:tc>
          <w:tcPr>
            <w:tcW w:w="1660" w:type="dxa"/>
            <w:tcBorders>
              <w:top w:val="nil"/>
              <w:left w:val="nil"/>
              <w:bottom w:val="nil"/>
              <w:right w:val="nil"/>
            </w:tcBorders>
            <w:shd w:val="clear" w:color="auto" w:fill="auto"/>
            <w:noWrap/>
            <w:vAlign w:val="bottom"/>
            <w:hideMark/>
          </w:tcPr>
          <w:p w14:paraId="479E077D" w14:textId="77777777" w:rsidR="00482D3D" w:rsidRPr="00141C43" w:rsidRDefault="00482D3D" w:rsidP="00482D3D">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8,06%</w:t>
            </w:r>
          </w:p>
        </w:tc>
      </w:tr>
      <w:tr w:rsidR="00482D3D" w:rsidRPr="00141C43" w14:paraId="14201E53" w14:textId="77777777" w:rsidTr="00482D3D">
        <w:trPr>
          <w:trHeight w:val="315"/>
        </w:trPr>
        <w:tc>
          <w:tcPr>
            <w:tcW w:w="2580" w:type="dxa"/>
            <w:tcBorders>
              <w:top w:val="nil"/>
              <w:left w:val="nil"/>
              <w:bottom w:val="nil"/>
              <w:right w:val="nil"/>
            </w:tcBorders>
            <w:shd w:val="clear" w:color="auto" w:fill="auto"/>
            <w:noWrap/>
            <w:vAlign w:val="bottom"/>
            <w:hideMark/>
          </w:tcPr>
          <w:p w14:paraId="46F45184"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BB Mapfre</w:t>
            </w:r>
          </w:p>
        </w:tc>
        <w:tc>
          <w:tcPr>
            <w:tcW w:w="1500" w:type="dxa"/>
            <w:tcBorders>
              <w:top w:val="nil"/>
              <w:left w:val="nil"/>
              <w:bottom w:val="nil"/>
              <w:right w:val="nil"/>
            </w:tcBorders>
            <w:shd w:val="clear" w:color="auto" w:fill="auto"/>
            <w:noWrap/>
            <w:vAlign w:val="bottom"/>
            <w:hideMark/>
          </w:tcPr>
          <w:p w14:paraId="25E7FD56"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1.628.669 </w:t>
            </w:r>
          </w:p>
        </w:tc>
        <w:tc>
          <w:tcPr>
            <w:tcW w:w="1594" w:type="dxa"/>
            <w:tcBorders>
              <w:top w:val="nil"/>
              <w:left w:val="nil"/>
              <w:bottom w:val="nil"/>
              <w:right w:val="nil"/>
            </w:tcBorders>
            <w:shd w:val="clear" w:color="auto" w:fill="auto"/>
            <w:noWrap/>
            <w:vAlign w:val="bottom"/>
            <w:hideMark/>
          </w:tcPr>
          <w:p w14:paraId="4FEE918D"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1.515.787 </w:t>
            </w:r>
          </w:p>
        </w:tc>
        <w:tc>
          <w:tcPr>
            <w:tcW w:w="1660" w:type="dxa"/>
            <w:tcBorders>
              <w:top w:val="nil"/>
              <w:left w:val="nil"/>
              <w:bottom w:val="nil"/>
              <w:right w:val="nil"/>
            </w:tcBorders>
            <w:shd w:val="clear" w:color="auto" w:fill="auto"/>
            <w:noWrap/>
            <w:vAlign w:val="bottom"/>
            <w:hideMark/>
          </w:tcPr>
          <w:p w14:paraId="0E52A8BD" w14:textId="77777777" w:rsidR="00482D3D" w:rsidRPr="00141C43" w:rsidRDefault="00482D3D" w:rsidP="00482D3D">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-6,93%</w:t>
            </w:r>
          </w:p>
        </w:tc>
      </w:tr>
      <w:tr w:rsidR="00482D3D" w:rsidRPr="00141C43" w14:paraId="1E7D3333" w14:textId="77777777" w:rsidTr="006273D0">
        <w:trPr>
          <w:trHeight w:val="315"/>
        </w:trPr>
        <w:tc>
          <w:tcPr>
            <w:tcW w:w="2580" w:type="dxa"/>
            <w:tcBorders>
              <w:top w:val="nil"/>
              <w:left w:val="nil"/>
              <w:bottom w:val="single" w:sz="4" w:space="0" w:color="auto"/>
              <w:right w:val="nil"/>
            </w:tcBorders>
            <w:shd w:val="clear" w:color="auto" w:fill="auto"/>
            <w:noWrap/>
            <w:vAlign w:val="bottom"/>
            <w:hideMark/>
          </w:tcPr>
          <w:p w14:paraId="2F380A74"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Caixa Seguros</w:t>
            </w:r>
          </w:p>
        </w:tc>
        <w:tc>
          <w:tcPr>
            <w:tcW w:w="1500" w:type="dxa"/>
            <w:tcBorders>
              <w:top w:val="nil"/>
              <w:left w:val="nil"/>
              <w:bottom w:val="single" w:sz="4" w:space="0" w:color="auto"/>
              <w:right w:val="nil"/>
            </w:tcBorders>
            <w:shd w:val="clear" w:color="auto" w:fill="auto"/>
            <w:noWrap/>
            <w:vAlign w:val="bottom"/>
            <w:hideMark/>
          </w:tcPr>
          <w:p w14:paraId="13F5D5BE"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64.140 </w:t>
            </w:r>
          </w:p>
        </w:tc>
        <w:tc>
          <w:tcPr>
            <w:tcW w:w="1594" w:type="dxa"/>
            <w:tcBorders>
              <w:top w:val="nil"/>
              <w:left w:val="nil"/>
              <w:bottom w:val="single" w:sz="4" w:space="0" w:color="auto"/>
              <w:right w:val="nil"/>
            </w:tcBorders>
            <w:shd w:val="clear" w:color="auto" w:fill="auto"/>
            <w:noWrap/>
            <w:vAlign w:val="bottom"/>
            <w:hideMark/>
          </w:tcPr>
          <w:p w14:paraId="59158614" w14:textId="77777777" w:rsidR="00482D3D" w:rsidRPr="00141C43" w:rsidRDefault="00482D3D" w:rsidP="00482D3D">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 xml:space="preserve">             60.311 </w:t>
            </w:r>
          </w:p>
        </w:tc>
        <w:tc>
          <w:tcPr>
            <w:tcW w:w="1660" w:type="dxa"/>
            <w:tcBorders>
              <w:top w:val="nil"/>
              <w:left w:val="nil"/>
              <w:bottom w:val="single" w:sz="4" w:space="0" w:color="auto"/>
              <w:right w:val="nil"/>
            </w:tcBorders>
            <w:shd w:val="clear" w:color="auto" w:fill="auto"/>
            <w:noWrap/>
            <w:vAlign w:val="bottom"/>
            <w:hideMark/>
          </w:tcPr>
          <w:p w14:paraId="29C5A5FA" w14:textId="77777777" w:rsidR="00482D3D" w:rsidRPr="00141C43" w:rsidRDefault="00482D3D" w:rsidP="00482D3D">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-5,97%</w:t>
            </w:r>
          </w:p>
        </w:tc>
      </w:tr>
      <w:tr w:rsidR="00482D3D" w:rsidRPr="00141C43" w14:paraId="084F6986" w14:textId="77777777" w:rsidTr="006273D0">
        <w:trPr>
          <w:trHeight w:val="330"/>
        </w:trPr>
        <w:tc>
          <w:tcPr>
            <w:tcW w:w="2580" w:type="dxa"/>
            <w:tcBorders>
              <w:top w:val="single" w:sz="4" w:space="0" w:color="auto"/>
              <w:left w:val="nil"/>
              <w:bottom w:val="single" w:sz="4" w:space="0" w:color="auto"/>
              <w:right w:val="nil"/>
            </w:tcBorders>
            <w:shd w:val="clear" w:color="auto" w:fill="auto"/>
            <w:noWrap/>
            <w:vAlign w:val="bottom"/>
            <w:hideMark/>
          </w:tcPr>
          <w:p w14:paraId="4421FB07" w14:textId="77777777" w:rsidR="00482D3D" w:rsidRPr="00141C43" w:rsidRDefault="00482D3D" w:rsidP="00482D3D">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w:t>
            </w:r>
          </w:p>
        </w:tc>
        <w:tc>
          <w:tcPr>
            <w:tcW w:w="1500" w:type="dxa"/>
            <w:tcBorders>
              <w:top w:val="single" w:sz="4" w:space="0" w:color="auto"/>
              <w:left w:val="nil"/>
              <w:bottom w:val="single" w:sz="4" w:space="0" w:color="auto"/>
              <w:right w:val="nil"/>
            </w:tcBorders>
            <w:shd w:val="clear" w:color="auto" w:fill="auto"/>
            <w:noWrap/>
            <w:vAlign w:val="bottom"/>
            <w:hideMark/>
          </w:tcPr>
          <w:p w14:paraId="66A80AAA" w14:textId="77777777" w:rsidR="00482D3D" w:rsidRPr="00141C43" w:rsidRDefault="00482D3D" w:rsidP="00482D3D">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42.634.737 </w:t>
            </w:r>
          </w:p>
        </w:tc>
        <w:tc>
          <w:tcPr>
            <w:tcW w:w="1594" w:type="dxa"/>
            <w:tcBorders>
              <w:top w:val="single" w:sz="4" w:space="0" w:color="auto"/>
              <w:left w:val="nil"/>
              <w:bottom w:val="single" w:sz="4" w:space="0" w:color="auto"/>
              <w:right w:val="nil"/>
            </w:tcBorders>
            <w:shd w:val="clear" w:color="auto" w:fill="auto"/>
            <w:noWrap/>
            <w:vAlign w:val="bottom"/>
            <w:hideMark/>
          </w:tcPr>
          <w:p w14:paraId="57AE14C4" w14:textId="77777777" w:rsidR="00482D3D" w:rsidRPr="00141C43" w:rsidRDefault="00482D3D" w:rsidP="00482D3D">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 xml:space="preserve">      43.543.919 </w:t>
            </w:r>
          </w:p>
        </w:tc>
        <w:tc>
          <w:tcPr>
            <w:tcW w:w="1660" w:type="dxa"/>
            <w:tcBorders>
              <w:top w:val="single" w:sz="4" w:space="0" w:color="auto"/>
              <w:left w:val="nil"/>
              <w:bottom w:val="single" w:sz="4" w:space="0" w:color="auto"/>
              <w:right w:val="nil"/>
            </w:tcBorders>
            <w:shd w:val="clear" w:color="auto" w:fill="auto"/>
            <w:noWrap/>
            <w:vAlign w:val="bottom"/>
            <w:hideMark/>
          </w:tcPr>
          <w:p w14:paraId="4C5F8A74" w14:textId="77777777" w:rsidR="00482D3D" w:rsidRPr="00141C43" w:rsidRDefault="00482D3D" w:rsidP="00482D3D">
            <w:pPr>
              <w:spacing w:after="0" w:line="240" w:lineRule="auto"/>
              <w:jc w:val="right"/>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2,13%</w:t>
            </w:r>
          </w:p>
        </w:tc>
      </w:tr>
    </w:tbl>
    <w:p w14:paraId="787384A9" w14:textId="77777777" w:rsidR="005269C2" w:rsidRDefault="005269C2" w:rsidP="00136F51">
      <w:pPr>
        <w:spacing w:before="120" w:after="120" w:line="360" w:lineRule="auto"/>
        <w:ind w:firstLine="709"/>
        <w:jc w:val="both"/>
        <w:rPr>
          <w:rFonts w:ascii="Times New Roman" w:hAnsi="Times New Roman" w:cs="Times New Roman"/>
          <w:sz w:val="24"/>
          <w:szCs w:val="24"/>
        </w:rPr>
      </w:pPr>
    </w:p>
    <w:p w14:paraId="36EF68BB" w14:textId="62B5EDE0" w:rsidR="00482D3D" w:rsidRPr="00141C43" w:rsidRDefault="00482D3D" w:rsidP="00136F51">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Com a elaboração da base analítica da conta de aplicação financeira, consegue-se analisar o efeito real dos instrumentos financeiros reclassificados devido </w:t>
      </w:r>
      <w:r w:rsidR="00243C12" w:rsidRPr="00141C43">
        <w:rPr>
          <w:rFonts w:ascii="Times New Roman" w:hAnsi="Times New Roman" w:cs="Times New Roman"/>
          <w:sz w:val="24"/>
          <w:szCs w:val="24"/>
        </w:rPr>
        <w:t>à</w:t>
      </w:r>
      <w:r w:rsidRPr="00141C43">
        <w:rPr>
          <w:rFonts w:ascii="Times New Roman" w:hAnsi="Times New Roman" w:cs="Times New Roman"/>
          <w:sz w:val="24"/>
          <w:szCs w:val="24"/>
        </w:rPr>
        <w:t xml:space="preserve"> norma do IFRS9</w:t>
      </w:r>
      <w:r w:rsidR="00B71D13" w:rsidRPr="00141C43">
        <w:rPr>
          <w:rFonts w:ascii="Times New Roman" w:hAnsi="Times New Roman" w:cs="Times New Roman"/>
          <w:sz w:val="24"/>
          <w:szCs w:val="24"/>
        </w:rPr>
        <w:t>. A</w:t>
      </w:r>
      <w:r w:rsidRPr="00141C43">
        <w:rPr>
          <w:rFonts w:ascii="Times New Roman" w:hAnsi="Times New Roman" w:cs="Times New Roman"/>
          <w:sz w:val="24"/>
          <w:szCs w:val="24"/>
        </w:rPr>
        <w:t xml:space="preserve">lgumas seguradoras </w:t>
      </w:r>
      <w:r w:rsidR="0020136C" w:rsidRPr="00141C43">
        <w:rPr>
          <w:rFonts w:ascii="Times New Roman" w:hAnsi="Times New Roman" w:cs="Times New Roman"/>
          <w:sz w:val="24"/>
          <w:szCs w:val="24"/>
        </w:rPr>
        <w:t xml:space="preserve">apresentaram </w:t>
      </w:r>
      <w:r w:rsidR="000D266A" w:rsidRPr="00141C43">
        <w:rPr>
          <w:rFonts w:ascii="Times New Roman" w:hAnsi="Times New Roman" w:cs="Times New Roman"/>
          <w:sz w:val="24"/>
          <w:szCs w:val="24"/>
        </w:rPr>
        <w:t>efeitos negativos relevantes</w:t>
      </w:r>
      <w:r w:rsidR="0020136C" w:rsidRPr="00141C43">
        <w:rPr>
          <w:rFonts w:ascii="Times New Roman" w:hAnsi="Times New Roman" w:cs="Times New Roman"/>
          <w:sz w:val="24"/>
          <w:szCs w:val="24"/>
        </w:rPr>
        <w:t xml:space="preserve">, e outras, </w:t>
      </w:r>
      <w:r w:rsidRPr="00141C43">
        <w:rPr>
          <w:rFonts w:ascii="Times New Roman" w:hAnsi="Times New Roman" w:cs="Times New Roman"/>
          <w:sz w:val="24"/>
          <w:szCs w:val="24"/>
        </w:rPr>
        <w:t>positivos</w:t>
      </w:r>
      <w:r w:rsidR="0020136C" w:rsidRPr="00141C43">
        <w:rPr>
          <w:rFonts w:ascii="Times New Roman" w:hAnsi="Times New Roman" w:cs="Times New Roman"/>
          <w:sz w:val="24"/>
          <w:szCs w:val="24"/>
        </w:rPr>
        <w:t>, mas também relevantes</w:t>
      </w:r>
      <w:r w:rsidR="00243C12" w:rsidRPr="00141C43">
        <w:rPr>
          <w:rFonts w:ascii="Times New Roman" w:hAnsi="Times New Roman" w:cs="Times New Roman"/>
          <w:sz w:val="24"/>
          <w:szCs w:val="24"/>
        </w:rPr>
        <w:t>. A</w:t>
      </w:r>
      <w:r w:rsidRPr="00141C43">
        <w:rPr>
          <w:rFonts w:ascii="Times New Roman" w:hAnsi="Times New Roman" w:cs="Times New Roman"/>
          <w:sz w:val="24"/>
          <w:szCs w:val="24"/>
        </w:rPr>
        <w:t xml:space="preserve"> única seguradora que consegu</w:t>
      </w:r>
      <w:r w:rsidR="008B614A" w:rsidRPr="00141C43">
        <w:rPr>
          <w:rFonts w:ascii="Times New Roman" w:hAnsi="Times New Roman" w:cs="Times New Roman"/>
          <w:sz w:val="24"/>
          <w:szCs w:val="24"/>
        </w:rPr>
        <w:t>iu</w:t>
      </w:r>
      <w:r w:rsidRPr="00141C43">
        <w:rPr>
          <w:rFonts w:ascii="Times New Roman" w:hAnsi="Times New Roman" w:cs="Times New Roman"/>
          <w:sz w:val="24"/>
          <w:szCs w:val="24"/>
        </w:rPr>
        <w:t xml:space="preserve"> se destacar</w:t>
      </w:r>
      <w:r w:rsidR="00243C12" w:rsidRPr="00141C43">
        <w:rPr>
          <w:rFonts w:ascii="Times New Roman" w:hAnsi="Times New Roman" w:cs="Times New Roman"/>
          <w:sz w:val="24"/>
          <w:szCs w:val="24"/>
        </w:rPr>
        <w:t xml:space="preserve"> em razão de s</w:t>
      </w:r>
      <w:r w:rsidRPr="00141C43">
        <w:rPr>
          <w:rFonts w:ascii="Times New Roman" w:hAnsi="Times New Roman" w:cs="Times New Roman"/>
          <w:sz w:val="24"/>
          <w:szCs w:val="24"/>
        </w:rPr>
        <w:t>eu gerenciamento de risco é a Bradesco Seguros</w:t>
      </w:r>
      <w:r w:rsidR="00243C12" w:rsidRPr="00141C43">
        <w:rPr>
          <w:rFonts w:ascii="Times New Roman" w:hAnsi="Times New Roman" w:cs="Times New Roman"/>
          <w:sz w:val="24"/>
          <w:szCs w:val="24"/>
        </w:rPr>
        <w:t>,</w:t>
      </w:r>
      <w:r w:rsidRPr="00141C43">
        <w:rPr>
          <w:rFonts w:ascii="Times New Roman" w:hAnsi="Times New Roman" w:cs="Times New Roman"/>
          <w:sz w:val="24"/>
          <w:szCs w:val="24"/>
        </w:rPr>
        <w:t xml:space="preserve"> estando com sua base percentual</w:t>
      </w:r>
      <w:r w:rsidR="00AB1811" w:rsidRPr="00141C43">
        <w:rPr>
          <w:rFonts w:ascii="Times New Roman" w:hAnsi="Times New Roman" w:cs="Times New Roman"/>
          <w:sz w:val="24"/>
          <w:szCs w:val="24"/>
        </w:rPr>
        <w:t xml:space="preserve"> de variação baixa</w:t>
      </w:r>
      <w:r w:rsidR="00B71D13" w:rsidRPr="00141C43">
        <w:rPr>
          <w:rFonts w:ascii="Times New Roman" w:hAnsi="Times New Roman" w:cs="Times New Roman"/>
          <w:sz w:val="24"/>
          <w:szCs w:val="24"/>
        </w:rPr>
        <w:t>,</w:t>
      </w:r>
      <w:r w:rsidRPr="00141C43">
        <w:rPr>
          <w:rFonts w:ascii="Times New Roman" w:hAnsi="Times New Roman" w:cs="Times New Roman"/>
          <w:sz w:val="24"/>
          <w:szCs w:val="24"/>
        </w:rPr>
        <w:t xml:space="preserve"> entre </w:t>
      </w:r>
      <w:r w:rsidR="0001509E">
        <w:rPr>
          <w:rFonts w:ascii="Times New Roman" w:hAnsi="Times New Roman" w:cs="Times New Roman"/>
          <w:sz w:val="24"/>
          <w:szCs w:val="24"/>
        </w:rPr>
        <w:t>1</w:t>
      </w:r>
      <w:r w:rsidRPr="00141C43">
        <w:rPr>
          <w:rFonts w:ascii="Times New Roman" w:hAnsi="Times New Roman" w:cs="Times New Roman"/>
          <w:sz w:val="24"/>
          <w:szCs w:val="24"/>
        </w:rPr>
        <w:t xml:space="preserve">% </w:t>
      </w:r>
      <w:r w:rsidR="0084649D" w:rsidRPr="00141C43">
        <w:rPr>
          <w:rFonts w:ascii="Times New Roman" w:hAnsi="Times New Roman" w:cs="Times New Roman"/>
          <w:sz w:val="24"/>
          <w:szCs w:val="24"/>
        </w:rPr>
        <w:t>a</w:t>
      </w:r>
      <w:r w:rsidR="0001509E">
        <w:rPr>
          <w:rFonts w:ascii="Times New Roman" w:hAnsi="Times New Roman" w:cs="Times New Roman"/>
          <w:sz w:val="24"/>
          <w:szCs w:val="24"/>
        </w:rPr>
        <w:t xml:space="preserve"> -1</w:t>
      </w:r>
      <w:r w:rsidRPr="00141C43">
        <w:rPr>
          <w:rFonts w:ascii="Times New Roman" w:hAnsi="Times New Roman" w:cs="Times New Roman"/>
          <w:sz w:val="24"/>
          <w:szCs w:val="24"/>
        </w:rPr>
        <w:t>%.</w:t>
      </w:r>
    </w:p>
    <w:p w14:paraId="00F889F9" w14:textId="7076E300" w:rsidR="00AB39EE" w:rsidRPr="00141C43" w:rsidRDefault="00807323" w:rsidP="00D55EBA">
      <w:pPr>
        <w:pStyle w:val="Ttulo2"/>
        <w:spacing w:before="120" w:after="120"/>
        <w:rPr>
          <w:rFonts w:ascii="Times New Roman" w:hAnsi="Times New Roman" w:cs="Times New Roman"/>
          <w:color w:val="auto"/>
          <w:sz w:val="24"/>
          <w:szCs w:val="24"/>
        </w:rPr>
      </w:pPr>
      <w:bookmarkStart w:id="11" w:name="_Toc469928722"/>
      <w:r>
        <w:rPr>
          <w:rFonts w:ascii="Times New Roman" w:hAnsi="Times New Roman" w:cs="Times New Roman"/>
          <w:color w:val="auto"/>
          <w:sz w:val="24"/>
          <w:szCs w:val="24"/>
        </w:rPr>
        <w:t>3.3</w:t>
      </w:r>
      <w:r w:rsidR="00AB39EE" w:rsidRPr="00141C43">
        <w:rPr>
          <w:rFonts w:ascii="Times New Roman" w:hAnsi="Times New Roman" w:cs="Times New Roman"/>
          <w:color w:val="auto"/>
          <w:sz w:val="24"/>
          <w:szCs w:val="24"/>
        </w:rPr>
        <w:t xml:space="preserve"> – </w:t>
      </w:r>
      <w:r w:rsidR="00C908A1" w:rsidRPr="00141C43">
        <w:rPr>
          <w:rFonts w:ascii="Times New Roman" w:hAnsi="Times New Roman" w:cs="Times New Roman"/>
          <w:color w:val="auto"/>
          <w:sz w:val="24"/>
          <w:szCs w:val="24"/>
        </w:rPr>
        <w:t>Estimativa de rendimento</w:t>
      </w:r>
      <w:bookmarkEnd w:id="11"/>
    </w:p>
    <w:p w14:paraId="59D1BD8B" w14:textId="6FAC4E59" w:rsidR="004B53CA" w:rsidRPr="00141C43" w:rsidRDefault="005C5CE1" w:rsidP="007D17E6">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Com vistas a </w:t>
      </w:r>
      <w:r w:rsidR="00B54C75" w:rsidRPr="00141C43">
        <w:rPr>
          <w:rFonts w:ascii="Times New Roman" w:hAnsi="Times New Roman" w:cs="Times New Roman"/>
          <w:sz w:val="24"/>
          <w:szCs w:val="24"/>
        </w:rPr>
        <w:t>estudar os</w:t>
      </w:r>
      <w:r w:rsidR="00326296" w:rsidRPr="00141C43">
        <w:rPr>
          <w:rFonts w:ascii="Times New Roman" w:hAnsi="Times New Roman" w:cs="Times New Roman"/>
          <w:sz w:val="24"/>
          <w:szCs w:val="24"/>
        </w:rPr>
        <w:t xml:space="preserve"> </w:t>
      </w:r>
      <w:r w:rsidR="00D365F3" w:rsidRPr="00141C43">
        <w:rPr>
          <w:rFonts w:ascii="Times New Roman" w:hAnsi="Times New Roman" w:cs="Times New Roman"/>
          <w:sz w:val="24"/>
          <w:szCs w:val="24"/>
        </w:rPr>
        <w:t>impactos</w:t>
      </w:r>
      <w:r w:rsidR="00326296" w:rsidRPr="00141C43">
        <w:rPr>
          <w:rFonts w:ascii="Times New Roman" w:hAnsi="Times New Roman" w:cs="Times New Roman"/>
          <w:sz w:val="24"/>
          <w:szCs w:val="24"/>
        </w:rPr>
        <w:t xml:space="preserve"> que a mudança da norma </w:t>
      </w:r>
      <w:r w:rsidR="009A3E16" w:rsidRPr="00141C43">
        <w:rPr>
          <w:rFonts w:ascii="Times New Roman" w:hAnsi="Times New Roman" w:cs="Times New Roman"/>
          <w:sz w:val="24"/>
          <w:szCs w:val="24"/>
        </w:rPr>
        <w:t>poderá causar</w:t>
      </w:r>
      <w:r w:rsidR="00326296" w:rsidRPr="00141C43">
        <w:rPr>
          <w:rFonts w:ascii="Times New Roman" w:hAnsi="Times New Roman" w:cs="Times New Roman"/>
          <w:sz w:val="24"/>
          <w:szCs w:val="24"/>
        </w:rPr>
        <w:t xml:space="preserve"> </w:t>
      </w:r>
      <w:r w:rsidR="00B54C75" w:rsidRPr="00141C43">
        <w:rPr>
          <w:rFonts w:ascii="Times New Roman" w:hAnsi="Times New Roman" w:cs="Times New Roman"/>
          <w:sz w:val="24"/>
          <w:szCs w:val="24"/>
        </w:rPr>
        <w:t>n</w:t>
      </w:r>
      <w:r w:rsidR="00326296" w:rsidRPr="00141C43">
        <w:rPr>
          <w:rFonts w:ascii="Times New Roman" w:hAnsi="Times New Roman" w:cs="Times New Roman"/>
          <w:sz w:val="24"/>
          <w:szCs w:val="24"/>
        </w:rPr>
        <w:t xml:space="preserve">as </w:t>
      </w:r>
      <w:r w:rsidR="00D365F3" w:rsidRPr="00141C43">
        <w:rPr>
          <w:rFonts w:ascii="Times New Roman" w:hAnsi="Times New Roman" w:cs="Times New Roman"/>
          <w:sz w:val="24"/>
          <w:szCs w:val="24"/>
        </w:rPr>
        <w:t>seguradoras</w:t>
      </w:r>
      <w:r w:rsidR="009A3E16" w:rsidRPr="00141C43">
        <w:rPr>
          <w:rFonts w:ascii="Times New Roman" w:hAnsi="Times New Roman" w:cs="Times New Roman"/>
          <w:sz w:val="24"/>
          <w:szCs w:val="24"/>
        </w:rPr>
        <w:t>, em decorrência do uso</w:t>
      </w:r>
      <w:r w:rsidR="00B54C75" w:rsidRPr="00141C43">
        <w:rPr>
          <w:rFonts w:ascii="Times New Roman" w:hAnsi="Times New Roman" w:cs="Times New Roman"/>
          <w:sz w:val="24"/>
          <w:szCs w:val="24"/>
        </w:rPr>
        <w:t xml:space="preserve"> de instrumentos financeiros</w:t>
      </w:r>
      <w:r w:rsidR="009A3E16" w:rsidRPr="00141C43">
        <w:rPr>
          <w:rFonts w:ascii="Times New Roman" w:hAnsi="Times New Roman" w:cs="Times New Roman"/>
          <w:sz w:val="24"/>
          <w:szCs w:val="24"/>
        </w:rPr>
        <w:t>, foi</w:t>
      </w:r>
      <w:r w:rsidR="004B53CA" w:rsidRPr="00141C43">
        <w:rPr>
          <w:rFonts w:ascii="Times New Roman" w:hAnsi="Times New Roman" w:cs="Times New Roman"/>
          <w:sz w:val="24"/>
          <w:szCs w:val="24"/>
        </w:rPr>
        <w:t xml:space="preserve"> calculad</w:t>
      </w:r>
      <w:r w:rsidR="009A3E16" w:rsidRPr="00141C43">
        <w:rPr>
          <w:rFonts w:ascii="Times New Roman" w:hAnsi="Times New Roman" w:cs="Times New Roman"/>
          <w:sz w:val="24"/>
          <w:szCs w:val="24"/>
        </w:rPr>
        <w:t>a</w:t>
      </w:r>
      <w:r w:rsidR="004B53CA" w:rsidRPr="00141C43">
        <w:rPr>
          <w:rFonts w:ascii="Times New Roman" w:hAnsi="Times New Roman" w:cs="Times New Roman"/>
          <w:sz w:val="24"/>
          <w:szCs w:val="24"/>
        </w:rPr>
        <w:t xml:space="preserve"> uma perspectiva de </w:t>
      </w:r>
      <w:r w:rsidR="00D365F3" w:rsidRPr="00141C43">
        <w:rPr>
          <w:rFonts w:ascii="Times New Roman" w:hAnsi="Times New Roman" w:cs="Times New Roman"/>
          <w:sz w:val="24"/>
          <w:szCs w:val="24"/>
        </w:rPr>
        <w:t>capitalização</w:t>
      </w:r>
      <w:r w:rsidR="004B53CA" w:rsidRPr="00141C43">
        <w:rPr>
          <w:rFonts w:ascii="Times New Roman" w:hAnsi="Times New Roman" w:cs="Times New Roman"/>
          <w:sz w:val="24"/>
          <w:szCs w:val="24"/>
        </w:rPr>
        <w:t xml:space="preserve"> para as </w:t>
      </w:r>
      <w:r w:rsidR="00D365F3" w:rsidRPr="00141C43">
        <w:rPr>
          <w:rFonts w:ascii="Times New Roman" w:hAnsi="Times New Roman" w:cs="Times New Roman"/>
          <w:sz w:val="24"/>
          <w:szCs w:val="24"/>
        </w:rPr>
        <w:t>duas</w:t>
      </w:r>
      <w:r w:rsidR="004B53CA" w:rsidRPr="00141C43">
        <w:rPr>
          <w:rFonts w:ascii="Times New Roman" w:hAnsi="Times New Roman" w:cs="Times New Roman"/>
          <w:sz w:val="24"/>
          <w:szCs w:val="24"/>
        </w:rPr>
        <w:t xml:space="preserve"> normas</w:t>
      </w:r>
      <w:r w:rsidR="00D365F3" w:rsidRPr="00141C43">
        <w:rPr>
          <w:rFonts w:ascii="Times New Roman" w:hAnsi="Times New Roman" w:cs="Times New Roman"/>
          <w:sz w:val="24"/>
          <w:szCs w:val="24"/>
        </w:rPr>
        <w:t xml:space="preserve"> (IAS39 e IFRS9)</w:t>
      </w:r>
      <w:r w:rsidR="004B53CA" w:rsidRPr="00141C43">
        <w:rPr>
          <w:rFonts w:ascii="Times New Roman" w:hAnsi="Times New Roman" w:cs="Times New Roman"/>
          <w:sz w:val="24"/>
          <w:szCs w:val="24"/>
        </w:rPr>
        <w:t xml:space="preserve">. </w:t>
      </w:r>
      <w:r w:rsidR="00D365F3" w:rsidRPr="00141C43">
        <w:rPr>
          <w:rFonts w:ascii="Times New Roman" w:hAnsi="Times New Roman" w:cs="Times New Roman"/>
          <w:sz w:val="24"/>
          <w:szCs w:val="24"/>
        </w:rPr>
        <w:t>O</w:t>
      </w:r>
      <w:r w:rsidR="004B53CA" w:rsidRPr="00141C43">
        <w:rPr>
          <w:rFonts w:ascii="Times New Roman" w:hAnsi="Times New Roman" w:cs="Times New Roman"/>
          <w:sz w:val="24"/>
          <w:szCs w:val="24"/>
        </w:rPr>
        <w:t>s cálculos</w:t>
      </w:r>
      <w:r w:rsidR="00D365F3" w:rsidRPr="00141C43">
        <w:rPr>
          <w:rFonts w:ascii="Times New Roman" w:hAnsi="Times New Roman" w:cs="Times New Roman"/>
          <w:sz w:val="24"/>
          <w:szCs w:val="24"/>
        </w:rPr>
        <w:t xml:space="preserve"> executados </w:t>
      </w:r>
      <w:r w:rsidR="009A3E16" w:rsidRPr="00141C43">
        <w:rPr>
          <w:rFonts w:ascii="Times New Roman" w:hAnsi="Times New Roman" w:cs="Times New Roman"/>
          <w:sz w:val="24"/>
          <w:szCs w:val="24"/>
        </w:rPr>
        <w:t>englobam uma</w:t>
      </w:r>
      <w:r w:rsidR="004B53CA" w:rsidRPr="00141C43">
        <w:rPr>
          <w:rFonts w:ascii="Times New Roman" w:hAnsi="Times New Roman" w:cs="Times New Roman"/>
          <w:sz w:val="24"/>
          <w:szCs w:val="24"/>
        </w:rPr>
        <w:t xml:space="preserve"> perspectiva na classificação atual e </w:t>
      </w:r>
      <w:r w:rsidR="00D365F3" w:rsidRPr="00141C43">
        <w:rPr>
          <w:rFonts w:ascii="Times New Roman" w:hAnsi="Times New Roman" w:cs="Times New Roman"/>
          <w:sz w:val="24"/>
          <w:szCs w:val="24"/>
        </w:rPr>
        <w:t xml:space="preserve">na futura, </w:t>
      </w:r>
      <w:r w:rsidR="009A3E16" w:rsidRPr="00141C43">
        <w:rPr>
          <w:rFonts w:ascii="Times New Roman" w:hAnsi="Times New Roman" w:cs="Times New Roman"/>
          <w:sz w:val="24"/>
          <w:szCs w:val="24"/>
        </w:rPr>
        <w:t>a comparação entre elas e a análise de possíveis diferenças nas</w:t>
      </w:r>
      <w:r w:rsidR="004B53CA" w:rsidRPr="00141C43">
        <w:rPr>
          <w:rFonts w:ascii="Times New Roman" w:hAnsi="Times New Roman" w:cs="Times New Roman"/>
          <w:sz w:val="24"/>
          <w:szCs w:val="24"/>
        </w:rPr>
        <w:t xml:space="preserve"> classificações.</w:t>
      </w:r>
    </w:p>
    <w:p w14:paraId="373D4A59" w14:textId="2059B089" w:rsidR="00890425" w:rsidRPr="00141C43" w:rsidRDefault="00B54C75" w:rsidP="004B53CA">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Para isso</w:t>
      </w:r>
      <w:r w:rsidR="00300271" w:rsidRPr="00141C43">
        <w:rPr>
          <w:rFonts w:ascii="Times New Roman" w:hAnsi="Times New Roman" w:cs="Times New Roman"/>
          <w:sz w:val="24"/>
          <w:szCs w:val="24"/>
        </w:rPr>
        <w:t>, foram utilizadas</w:t>
      </w:r>
      <w:r w:rsidRPr="00141C43">
        <w:rPr>
          <w:rFonts w:ascii="Times New Roman" w:hAnsi="Times New Roman" w:cs="Times New Roman"/>
          <w:sz w:val="24"/>
          <w:szCs w:val="24"/>
        </w:rPr>
        <w:t xml:space="preserve"> as perspectivas futuras da taxa de juros</w:t>
      </w:r>
      <w:r w:rsidR="00AB39EE" w:rsidRPr="00141C43">
        <w:rPr>
          <w:rFonts w:ascii="Times New Roman" w:hAnsi="Times New Roman" w:cs="Times New Roman"/>
          <w:sz w:val="24"/>
          <w:szCs w:val="24"/>
        </w:rPr>
        <w:t xml:space="preserve"> </w:t>
      </w:r>
      <w:r w:rsidRPr="00141C43">
        <w:rPr>
          <w:rFonts w:ascii="Times New Roman" w:hAnsi="Times New Roman" w:cs="Times New Roman"/>
          <w:sz w:val="24"/>
          <w:szCs w:val="24"/>
        </w:rPr>
        <w:t>publicad</w:t>
      </w:r>
      <w:r w:rsidR="00300271" w:rsidRPr="00141C43">
        <w:rPr>
          <w:rFonts w:ascii="Times New Roman" w:hAnsi="Times New Roman" w:cs="Times New Roman"/>
          <w:sz w:val="24"/>
          <w:szCs w:val="24"/>
        </w:rPr>
        <w:t>a</w:t>
      </w:r>
      <w:r w:rsidRPr="00141C43">
        <w:rPr>
          <w:rFonts w:ascii="Times New Roman" w:hAnsi="Times New Roman" w:cs="Times New Roman"/>
          <w:sz w:val="24"/>
          <w:szCs w:val="24"/>
        </w:rPr>
        <w:t xml:space="preserve"> pel</w:t>
      </w:r>
      <w:r w:rsidR="00D365F3" w:rsidRPr="00141C43">
        <w:rPr>
          <w:rFonts w:ascii="Times New Roman" w:hAnsi="Times New Roman" w:cs="Times New Roman"/>
          <w:sz w:val="24"/>
          <w:szCs w:val="24"/>
        </w:rPr>
        <w:t xml:space="preserve">a </w:t>
      </w:r>
      <w:proofErr w:type="spellStart"/>
      <w:r w:rsidR="00D365F3" w:rsidRPr="00141C43">
        <w:rPr>
          <w:rFonts w:ascii="Times New Roman" w:hAnsi="Times New Roman" w:cs="Times New Roman"/>
          <w:sz w:val="24"/>
          <w:szCs w:val="24"/>
        </w:rPr>
        <w:t>Anbima</w:t>
      </w:r>
      <w:proofErr w:type="spellEnd"/>
      <w:r w:rsidR="00300271" w:rsidRPr="00141C43">
        <w:rPr>
          <w:rFonts w:ascii="Times New Roman" w:hAnsi="Times New Roman" w:cs="Times New Roman"/>
          <w:sz w:val="24"/>
          <w:szCs w:val="24"/>
        </w:rPr>
        <w:t>, pelo</w:t>
      </w:r>
      <w:r w:rsidR="00D365F3" w:rsidRPr="00141C43">
        <w:rPr>
          <w:rFonts w:ascii="Times New Roman" w:hAnsi="Times New Roman" w:cs="Times New Roman"/>
          <w:sz w:val="24"/>
          <w:szCs w:val="24"/>
        </w:rPr>
        <w:t xml:space="preserve"> ETTJ</w:t>
      </w:r>
      <w:r w:rsidR="00300271" w:rsidRPr="00141C43">
        <w:rPr>
          <w:rFonts w:ascii="Times New Roman" w:hAnsi="Times New Roman" w:cs="Times New Roman"/>
          <w:sz w:val="24"/>
          <w:szCs w:val="24"/>
        </w:rPr>
        <w:t>, pois essa</w:t>
      </w:r>
      <w:r w:rsidR="00AB39EE" w:rsidRPr="00141C43">
        <w:rPr>
          <w:rFonts w:ascii="Times New Roman" w:hAnsi="Times New Roman" w:cs="Times New Roman"/>
          <w:sz w:val="24"/>
          <w:szCs w:val="24"/>
        </w:rPr>
        <w:t xml:space="preserve"> é a taxa </w:t>
      </w:r>
      <w:r w:rsidR="00AB1811" w:rsidRPr="00141C43">
        <w:rPr>
          <w:rFonts w:ascii="Times New Roman" w:hAnsi="Times New Roman" w:cs="Times New Roman"/>
          <w:sz w:val="24"/>
          <w:szCs w:val="24"/>
        </w:rPr>
        <w:t xml:space="preserve">vinculada </w:t>
      </w:r>
      <w:r w:rsidR="00300271" w:rsidRPr="00141C43">
        <w:rPr>
          <w:rFonts w:ascii="Times New Roman" w:hAnsi="Times New Roman" w:cs="Times New Roman"/>
          <w:sz w:val="24"/>
          <w:szCs w:val="24"/>
        </w:rPr>
        <w:t>à</w:t>
      </w:r>
      <w:r w:rsidR="00D365F3" w:rsidRPr="00141C43">
        <w:rPr>
          <w:rFonts w:ascii="Times New Roman" w:hAnsi="Times New Roman" w:cs="Times New Roman"/>
          <w:sz w:val="24"/>
          <w:szCs w:val="24"/>
        </w:rPr>
        <w:t xml:space="preserve"> Susep para </w:t>
      </w:r>
      <w:r w:rsidR="003E46A3" w:rsidRPr="00141C43">
        <w:rPr>
          <w:rFonts w:ascii="Times New Roman" w:hAnsi="Times New Roman" w:cs="Times New Roman"/>
          <w:sz w:val="24"/>
          <w:szCs w:val="24"/>
        </w:rPr>
        <w:t>calcular a</w:t>
      </w:r>
      <w:r w:rsidR="00D365F3" w:rsidRPr="00141C43">
        <w:rPr>
          <w:rFonts w:ascii="Times New Roman" w:hAnsi="Times New Roman" w:cs="Times New Roman"/>
          <w:sz w:val="24"/>
          <w:szCs w:val="24"/>
        </w:rPr>
        <w:t xml:space="preserve"> estimativa </w:t>
      </w:r>
      <w:r w:rsidR="00300271" w:rsidRPr="00141C43">
        <w:rPr>
          <w:rFonts w:ascii="Times New Roman" w:hAnsi="Times New Roman" w:cs="Times New Roman"/>
          <w:sz w:val="24"/>
          <w:szCs w:val="24"/>
        </w:rPr>
        <w:t>d</w:t>
      </w:r>
      <w:r w:rsidR="00D365F3" w:rsidRPr="00141C43">
        <w:rPr>
          <w:rFonts w:ascii="Times New Roman" w:hAnsi="Times New Roman" w:cs="Times New Roman"/>
          <w:sz w:val="24"/>
          <w:szCs w:val="24"/>
        </w:rPr>
        <w:t>as obrigações</w:t>
      </w:r>
      <w:r w:rsidR="00A4573F" w:rsidRPr="00141C43">
        <w:rPr>
          <w:rFonts w:ascii="Times New Roman" w:hAnsi="Times New Roman" w:cs="Times New Roman"/>
          <w:sz w:val="24"/>
          <w:szCs w:val="24"/>
        </w:rPr>
        <w:t>. Isso</w:t>
      </w:r>
      <w:r w:rsidR="00D365F3" w:rsidRPr="00141C43">
        <w:rPr>
          <w:rFonts w:ascii="Times New Roman" w:hAnsi="Times New Roman" w:cs="Times New Roman"/>
          <w:sz w:val="24"/>
          <w:szCs w:val="24"/>
        </w:rPr>
        <w:t xml:space="preserve"> </w:t>
      </w:r>
      <w:r w:rsidR="0020136C" w:rsidRPr="00141C43">
        <w:rPr>
          <w:rFonts w:ascii="Times New Roman" w:hAnsi="Times New Roman" w:cs="Times New Roman"/>
          <w:sz w:val="24"/>
          <w:szCs w:val="24"/>
        </w:rPr>
        <w:t>para</w:t>
      </w:r>
      <w:r w:rsidR="00D365F3" w:rsidRPr="00141C43">
        <w:rPr>
          <w:rFonts w:ascii="Times New Roman" w:hAnsi="Times New Roman" w:cs="Times New Roman"/>
          <w:sz w:val="24"/>
          <w:szCs w:val="24"/>
        </w:rPr>
        <w:t xml:space="preserve"> </w:t>
      </w:r>
      <w:r w:rsidR="0020136C" w:rsidRPr="00141C43">
        <w:rPr>
          <w:rFonts w:ascii="Times New Roman" w:hAnsi="Times New Roman" w:cs="Times New Roman"/>
          <w:sz w:val="24"/>
          <w:szCs w:val="24"/>
        </w:rPr>
        <w:t>obter o status de cobertura d</w:t>
      </w:r>
      <w:r w:rsidR="00D365F3" w:rsidRPr="00141C43">
        <w:rPr>
          <w:rFonts w:ascii="Times New Roman" w:hAnsi="Times New Roman" w:cs="Times New Roman"/>
          <w:sz w:val="24"/>
          <w:szCs w:val="24"/>
        </w:rPr>
        <w:t>os ativos financeiros</w:t>
      </w:r>
      <w:r w:rsidR="0020136C" w:rsidRPr="00141C43">
        <w:rPr>
          <w:rFonts w:ascii="Times New Roman" w:hAnsi="Times New Roman" w:cs="Times New Roman"/>
          <w:sz w:val="24"/>
          <w:szCs w:val="24"/>
        </w:rPr>
        <w:t>, que</w:t>
      </w:r>
      <w:r w:rsidR="00AB39EE" w:rsidRPr="00141C43">
        <w:rPr>
          <w:rFonts w:ascii="Times New Roman" w:hAnsi="Times New Roman" w:cs="Times New Roman"/>
          <w:sz w:val="24"/>
          <w:szCs w:val="24"/>
        </w:rPr>
        <w:t xml:space="preserve"> interfere sobre a taxa de juros do mercado</w:t>
      </w:r>
      <w:r w:rsidR="00D365F3" w:rsidRPr="00141C43">
        <w:rPr>
          <w:rFonts w:ascii="Times New Roman" w:hAnsi="Times New Roman" w:cs="Times New Roman"/>
          <w:sz w:val="24"/>
          <w:szCs w:val="24"/>
        </w:rPr>
        <w:t xml:space="preserve"> nos instrumentos financeiros</w:t>
      </w:r>
      <w:r w:rsidR="00AB39EE" w:rsidRPr="00141C43">
        <w:rPr>
          <w:rFonts w:ascii="Times New Roman" w:hAnsi="Times New Roman" w:cs="Times New Roman"/>
          <w:sz w:val="24"/>
          <w:szCs w:val="24"/>
        </w:rPr>
        <w:t>,</w:t>
      </w:r>
      <w:r w:rsidRPr="00141C43">
        <w:rPr>
          <w:rFonts w:ascii="Times New Roman" w:hAnsi="Times New Roman" w:cs="Times New Roman"/>
          <w:sz w:val="24"/>
          <w:szCs w:val="24"/>
        </w:rPr>
        <w:t xml:space="preserve"> e através dela</w:t>
      </w:r>
      <w:r w:rsidR="00F43EBA" w:rsidRPr="00141C43">
        <w:rPr>
          <w:rFonts w:ascii="Times New Roman" w:hAnsi="Times New Roman" w:cs="Times New Roman"/>
          <w:sz w:val="24"/>
          <w:szCs w:val="24"/>
        </w:rPr>
        <w:t>,</w:t>
      </w:r>
      <w:r w:rsidRPr="00141C43">
        <w:rPr>
          <w:rFonts w:ascii="Times New Roman" w:hAnsi="Times New Roman" w:cs="Times New Roman"/>
          <w:sz w:val="24"/>
          <w:szCs w:val="24"/>
        </w:rPr>
        <w:t xml:space="preserve"> obter a marcação a mercado que seria utilizada para o IAS 39 e o IFRS 9.</w:t>
      </w:r>
      <w:r w:rsidR="00D16E3A" w:rsidRPr="00141C43">
        <w:rPr>
          <w:rFonts w:ascii="Times New Roman" w:hAnsi="Times New Roman" w:cs="Times New Roman"/>
          <w:sz w:val="24"/>
          <w:szCs w:val="24"/>
        </w:rPr>
        <w:t xml:space="preserve"> </w:t>
      </w:r>
      <w:r w:rsidR="00300271" w:rsidRPr="00141C43">
        <w:rPr>
          <w:rFonts w:ascii="Times New Roman" w:hAnsi="Times New Roman" w:cs="Times New Roman"/>
          <w:sz w:val="24"/>
          <w:szCs w:val="24"/>
        </w:rPr>
        <w:t xml:space="preserve">Segue a </w:t>
      </w:r>
      <w:r w:rsidR="00D16E3A" w:rsidRPr="00141C43">
        <w:rPr>
          <w:rFonts w:ascii="Times New Roman" w:hAnsi="Times New Roman" w:cs="Times New Roman"/>
          <w:sz w:val="24"/>
          <w:szCs w:val="24"/>
        </w:rPr>
        <w:t xml:space="preserve">estruturação de termo de taxa de </w:t>
      </w:r>
      <w:r w:rsidR="00300271" w:rsidRPr="00141C43">
        <w:rPr>
          <w:rFonts w:ascii="Times New Roman" w:hAnsi="Times New Roman" w:cs="Times New Roman"/>
          <w:sz w:val="24"/>
          <w:szCs w:val="24"/>
        </w:rPr>
        <w:t>juro</w:t>
      </w:r>
      <w:r w:rsidR="00047C96">
        <w:rPr>
          <w:rFonts w:ascii="Times New Roman" w:hAnsi="Times New Roman" w:cs="Times New Roman"/>
          <w:sz w:val="24"/>
          <w:szCs w:val="24"/>
        </w:rPr>
        <w:t>s na tabela 8</w:t>
      </w:r>
      <w:r w:rsidR="00300271" w:rsidRPr="00141C43">
        <w:rPr>
          <w:rFonts w:ascii="Times New Roman" w:hAnsi="Times New Roman" w:cs="Times New Roman"/>
          <w:sz w:val="24"/>
          <w:szCs w:val="24"/>
        </w:rPr>
        <w:t>:</w:t>
      </w:r>
    </w:p>
    <w:p w14:paraId="012851B8" w14:textId="6974FC40" w:rsidR="00807323" w:rsidRPr="00141C43" w:rsidRDefault="00047C96" w:rsidP="008073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Tabela 8</w:t>
      </w:r>
    </w:p>
    <w:p w14:paraId="02D3B6D8" w14:textId="77777777" w:rsidR="00807323" w:rsidRPr="00141C43" w:rsidRDefault="00807323" w:rsidP="00807323">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Estruturação de Termo de Taxa de Juros – ETTJ</w:t>
      </w:r>
    </w:p>
    <w:tbl>
      <w:tblPr>
        <w:tblW w:w="8647" w:type="dxa"/>
        <w:tblInd w:w="354" w:type="dxa"/>
        <w:tblCellMar>
          <w:left w:w="70" w:type="dxa"/>
          <w:right w:w="70" w:type="dxa"/>
        </w:tblCellMar>
        <w:tblLook w:val="04A0" w:firstRow="1" w:lastRow="0" w:firstColumn="1" w:lastColumn="0" w:noHBand="0" w:noVBand="1"/>
      </w:tblPr>
      <w:tblGrid>
        <w:gridCol w:w="960"/>
        <w:gridCol w:w="2017"/>
        <w:gridCol w:w="1984"/>
        <w:gridCol w:w="1843"/>
        <w:gridCol w:w="1843"/>
      </w:tblGrid>
      <w:tr w:rsidR="00807323" w:rsidRPr="00141C43" w14:paraId="4AAB9C59" w14:textId="77777777" w:rsidTr="00807323">
        <w:trPr>
          <w:trHeight w:val="304"/>
        </w:trPr>
        <w:tc>
          <w:tcPr>
            <w:tcW w:w="960" w:type="dxa"/>
            <w:tcBorders>
              <w:top w:val="single" w:sz="4" w:space="0" w:color="auto"/>
              <w:bottom w:val="single" w:sz="4" w:space="0" w:color="auto"/>
            </w:tcBorders>
            <w:shd w:val="clear" w:color="auto" w:fill="auto"/>
            <w:vAlign w:val="center"/>
            <w:hideMark/>
          </w:tcPr>
          <w:p w14:paraId="0F1A3C63" w14:textId="77777777" w:rsidR="00807323" w:rsidRPr="00141C43" w:rsidRDefault="00807323"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Dias</w:t>
            </w:r>
          </w:p>
        </w:tc>
        <w:tc>
          <w:tcPr>
            <w:tcW w:w="2017" w:type="dxa"/>
            <w:tcBorders>
              <w:top w:val="single" w:sz="4" w:space="0" w:color="auto"/>
              <w:bottom w:val="single" w:sz="4" w:space="0" w:color="auto"/>
            </w:tcBorders>
            <w:shd w:val="clear" w:color="auto" w:fill="auto"/>
            <w:vAlign w:val="center"/>
            <w:hideMark/>
          </w:tcPr>
          <w:p w14:paraId="7C8B5E9D" w14:textId="77777777" w:rsidR="00807323" w:rsidRPr="00141C43" w:rsidRDefault="00807323"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ETTJ IPCA 2015</w:t>
            </w:r>
          </w:p>
        </w:tc>
        <w:tc>
          <w:tcPr>
            <w:tcW w:w="1984" w:type="dxa"/>
            <w:tcBorders>
              <w:top w:val="single" w:sz="4" w:space="0" w:color="auto"/>
              <w:bottom w:val="single" w:sz="4" w:space="0" w:color="auto"/>
            </w:tcBorders>
            <w:shd w:val="clear" w:color="auto" w:fill="auto"/>
            <w:vAlign w:val="center"/>
            <w:hideMark/>
          </w:tcPr>
          <w:p w14:paraId="09B9AAE2" w14:textId="77777777" w:rsidR="00807323" w:rsidRPr="00141C43" w:rsidRDefault="00807323"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ETTJ IPCA 2016</w:t>
            </w:r>
          </w:p>
        </w:tc>
        <w:tc>
          <w:tcPr>
            <w:tcW w:w="1843" w:type="dxa"/>
            <w:tcBorders>
              <w:top w:val="single" w:sz="4" w:space="0" w:color="auto"/>
              <w:bottom w:val="single" w:sz="4" w:space="0" w:color="auto"/>
            </w:tcBorders>
            <w:shd w:val="clear" w:color="auto" w:fill="auto"/>
            <w:vAlign w:val="center"/>
            <w:hideMark/>
          </w:tcPr>
          <w:p w14:paraId="32DD42F2" w14:textId="77777777" w:rsidR="00807323" w:rsidRPr="00141C43" w:rsidRDefault="00807323"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ETTJ PRE 2015</w:t>
            </w:r>
          </w:p>
        </w:tc>
        <w:tc>
          <w:tcPr>
            <w:tcW w:w="1843" w:type="dxa"/>
            <w:tcBorders>
              <w:top w:val="single" w:sz="4" w:space="0" w:color="auto"/>
              <w:bottom w:val="single" w:sz="4" w:space="0" w:color="auto"/>
            </w:tcBorders>
            <w:shd w:val="clear" w:color="auto" w:fill="auto"/>
            <w:vAlign w:val="center"/>
            <w:hideMark/>
          </w:tcPr>
          <w:p w14:paraId="6D5E0325" w14:textId="77777777" w:rsidR="00807323" w:rsidRPr="00141C43" w:rsidRDefault="00807323" w:rsidP="00BF2F6C">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ETTJ PRE 2016</w:t>
            </w:r>
          </w:p>
        </w:tc>
      </w:tr>
      <w:tr w:rsidR="00807323" w:rsidRPr="00141C43" w14:paraId="4C0C304A" w14:textId="77777777" w:rsidTr="00807323">
        <w:trPr>
          <w:trHeight w:val="315"/>
        </w:trPr>
        <w:tc>
          <w:tcPr>
            <w:tcW w:w="960" w:type="dxa"/>
            <w:tcBorders>
              <w:top w:val="single" w:sz="4" w:space="0" w:color="auto"/>
              <w:bottom w:val="single" w:sz="4" w:space="0" w:color="auto"/>
            </w:tcBorders>
            <w:shd w:val="clear" w:color="auto" w:fill="auto"/>
            <w:vAlign w:val="bottom"/>
            <w:hideMark/>
          </w:tcPr>
          <w:p w14:paraId="3499F08D" w14:textId="77777777" w:rsidR="00807323" w:rsidRPr="00141C43" w:rsidRDefault="00807323" w:rsidP="00807323">
            <w:pPr>
              <w:spacing w:after="0" w:line="240" w:lineRule="auto"/>
              <w:jc w:val="right"/>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252</w:t>
            </w:r>
          </w:p>
        </w:tc>
        <w:tc>
          <w:tcPr>
            <w:tcW w:w="2017" w:type="dxa"/>
            <w:tcBorders>
              <w:top w:val="single" w:sz="4" w:space="0" w:color="auto"/>
              <w:bottom w:val="single" w:sz="4" w:space="0" w:color="auto"/>
            </w:tcBorders>
            <w:shd w:val="clear" w:color="auto" w:fill="auto"/>
            <w:vAlign w:val="bottom"/>
            <w:hideMark/>
          </w:tcPr>
          <w:p w14:paraId="10AE327C" w14:textId="48E7E05A" w:rsidR="00807323" w:rsidRPr="00141C43" w:rsidRDefault="00807323" w:rsidP="00807323">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7,212</w:t>
            </w:r>
          </w:p>
        </w:tc>
        <w:tc>
          <w:tcPr>
            <w:tcW w:w="1984" w:type="dxa"/>
            <w:tcBorders>
              <w:top w:val="single" w:sz="4" w:space="0" w:color="auto"/>
              <w:bottom w:val="single" w:sz="4" w:space="0" w:color="auto"/>
            </w:tcBorders>
            <w:shd w:val="clear" w:color="auto" w:fill="auto"/>
            <w:vAlign w:val="bottom"/>
            <w:hideMark/>
          </w:tcPr>
          <w:p w14:paraId="05D369AF" w14:textId="21C5D4EA" w:rsidR="00807323" w:rsidRPr="00141C43" w:rsidRDefault="00807323" w:rsidP="00807323">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6,6442</w:t>
            </w:r>
          </w:p>
        </w:tc>
        <w:tc>
          <w:tcPr>
            <w:tcW w:w="1843" w:type="dxa"/>
            <w:tcBorders>
              <w:top w:val="single" w:sz="4" w:space="0" w:color="auto"/>
              <w:bottom w:val="single" w:sz="4" w:space="0" w:color="auto"/>
            </w:tcBorders>
            <w:shd w:val="clear" w:color="auto" w:fill="auto"/>
            <w:noWrap/>
            <w:vAlign w:val="bottom"/>
            <w:hideMark/>
          </w:tcPr>
          <w:p w14:paraId="1A8A1F9D" w14:textId="42F82646" w:rsidR="00807323" w:rsidRPr="00141C43" w:rsidRDefault="00807323" w:rsidP="00807323">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16,4871</w:t>
            </w:r>
          </w:p>
        </w:tc>
        <w:tc>
          <w:tcPr>
            <w:tcW w:w="1843" w:type="dxa"/>
            <w:tcBorders>
              <w:top w:val="single" w:sz="4" w:space="0" w:color="auto"/>
              <w:bottom w:val="single" w:sz="4" w:space="0" w:color="auto"/>
            </w:tcBorders>
            <w:shd w:val="clear" w:color="auto" w:fill="auto"/>
            <w:vAlign w:val="bottom"/>
            <w:hideMark/>
          </w:tcPr>
          <w:p w14:paraId="3FEB96FD" w14:textId="366CE1A9" w:rsidR="00807323" w:rsidRPr="00141C43" w:rsidRDefault="00807323" w:rsidP="00807323">
            <w:pPr>
              <w:spacing w:after="0" w:line="240" w:lineRule="auto"/>
              <w:jc w:val="right"/>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11,3638</w:t>
            </w:r>
          </w:p>
        </w:tc>
      </w:tr>
    </w:tbl>
    <w:p w14:paraId="2DDA15E8" w14:textId="77777777" w:rsidR="00235152" w:rsidRDefault="00807323" w:rsidP="00235152">
      <w:pPr>
        <w:spacing w:after="120" w:line="240" w:lineRule="auto"/>
        <w:ind w:left="284" w:hanging="284"/>
        <w:jc w:val="both"/>
        <w:rPr>
          <w:rFonts w:ascii="Times New Roman" w:hAnsi="Times New Roman" w:cs="Times New Roman"/>
          <w:sz w:val="20"/>
          <w:szCs w:val="20"/>
        </w:rPr>
      </w:pPr>
      <w:r w:rsidRPr="00141C43">
        <w:rPr>
          <w:rFonts w:ascii="Times New Roman" w:hAnsi="Times New Roman" w:cs="Times New Roman"/>
          <w:sz w:val="24"/>
          <w:szCs w:val="24"/>
        </w:rPr>
        <w:t xml:space="preserve">     </w:t>
      </w:r>
      <w:r w:rsidR="00235152" w:rsidRPr="00553B5D">
        <w:rPr>
          <w:rFonts w:ascii="Times New Roman" w:hAnsi="Times New Roman" w:cs="Times New Roman"/>
          <w:i/>
          <w:sz w:val="20"/>
          <w:szCs w:val="20"/>
        </w:rPr>
        <w:t>Nota.</w:t>
      </w:r>
      <w:r w:rsidR="00235152" w:rsidRPr="00553B5D">
        <w:rPr>
          <w:rFonts w:ascii="Times New Roman" w:hAnsi="Times New Roman" w:cs="Times New Roman"/>
          <w:sz w:val="20"/>
          <w:szCs w:val="20"/>
        </w:rPr>
        <w:t xml:space="preserve"> </w:t>
      </w:r>
      <w:r w:rsidR="00235152">
        <w:rPr>
          <w:rFonts w:ascii="Times New Roman" w:hAnsi="Times New Roman" w:cs="Times New Roman"/>
          <w:sz w:val="20"/>
          <w:szCs w:val="20"/>
        </w:rPr>
        <w:t xml:space="preserve">Fonte: </w:t>
      </w:r>
      <w:r w:rsidR="00235152" w:rsidRPr="00553B5D">
        <w:rPr>
          <w:rFonts w:ascii="Times New Roman" w:hAnsi="Times New Roman" w:cs="Times New Roman"/>
          <w:sz w:val="20"/>
          <w:szCs w:val="20"/>
        </w:rPr>
        <w:t xml:space="preserve">Adaptado de “Modelo de interpolação e extrapolação da ETTJ”, de Superintendência de Seguros Privados, (2015), </w:t>
      </w:r>
      <w:proofErr w:type="gramStart"/>
      <w:r w:rsidR="00235152" w:rsidRPr="00553B5D">
        <w:rPr>
          <w:rFonts w:ascii="Times New Roman" w:hAnsi="Times New Roman" w:cs="Times New Roman"/>
          <w:sz w:val="20"/>
          <w:szCs w:val="20"/>
        </w:rPr>
        <w:t>Recuperado</w:t>
      </w:r>
      <w:proofErr w:type="gramEnd"/>
      <w:r w:rsidR="00235152" w:rsidRPr="00553B5D">
        <w:rPr>
          <w:rFonts w:ascii="Times New Roman" w:hAnsi="Times New Roman" w:cs="Times New Roman"/>
          <w:sz w:val="20"/>
          <w:szCs w:val="20"/>
        </w:rPr>
        <w:t xml:space="preserve"> de http://www.susep.gov.br/setores-susep/cgsoa/coris/dicem/modelo-de-interpolacao-e-extrapolacao-da-ettj; “Modelo de interpolação e extrapolação da ETTJ “, de Superintendência de Seguros Privados, (2016), Recuperado de http://www.susep.gov.br/setores-susep/cgsoa/coris/dicem/modelo-de-interpolacao-e-extrapolacao-da-ettj</w:t>
      </w:r>
    </w:p>
    <w:p w14:paraId="6ACDF6ED" w14:textId="3A06B1A7" w:rsidR="00D524A3" w:rsidRPr="00141C43" w:rsidRDefault="00285D4B" w:rsidP="00235152">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 xml:space="preserve">Ao analisar </w:t>
      </w:r>
      <w:r w:rsidR="00D524A3" w:rsidRPr="00141C43">
        <w:rPr>
          <w:rFonts w:ascii="Times New Roman" w:hAnsi="Times New Roman" w:cs="Times New Roman"/>
          <w:sz w:val="24"/>
          <w:szCs w:val="24"/>
        </w:rPr>
        <w:t>a demonstração financeira dos instrumentos financeiros</w:t>
      </w:r>
      <w:r w:rsidRPr="00141C43">
        <w:rPr>
          <w:rFonts w:ascii="Times New Roman" w:hAnsi="Times New Roman" w:cs="Times New Roman"/>
          <w:sz w:val="24"/>
          <w:szCs w:val="24"/>
        </w:rPr>
        <w:t>, é possível</w:t>
      </w:r>
      <w:r w:rsidR="00D524A3" w:rsidRPr="00141C43">
        <w:rPr>
          <w:rFonts w:ascii="Times New Roman" w:hAnsi="Times New Roman" w:cs="Times New Roman"/>
          <w:sz w:val="24"/>
          <w:szCs w:val="24"/>
        </w:rPr>
        <w:t xml:space="preserve"> comparar a variação </w:t>
      </w:r>
      <w:r w:rsidRPr="00141C43">
        <w:rPr>
          <w:rFonts w:ascii="Times New Roman" w:hAnsi="Times New Roman" w:cs="Times New Roman"/>
          <w:sz w:val="24"/>
          <w:szCs w:val="24"/>
        </w:rPr>
        <w:t>quanto à</w:t>
      </w:r>
      <w:r w:rsidR="00D524A3" w:rsidRPr="00141C43">
        <w:rPr>
          <w:rFonts w:ascii="Times New Roman" w:hAnsi="Times New Roman" w:cs="Times New Roman"/>
          <w:sz w:val="24"/>
          <w:szCs w:val="24"/>
        </w:rPr>
        <w:t xml:space="preserve"> adoção da nova norma, ou seja, o IAS39 x IFRS9</w:t>
      </w:r>
      <w:r w:rsidR="00173887" w:rsidRPr="00141C43">
        <w:rPr>
          <w:rFonts w:ascii="Times New Roman" w:hAnsi="Times New Roman" w:cs="Times New Roman"/>
          <w:sz w:val="24"/>
          <w:szCs w:val="24"/>
        </w:rPr>
        <w:t xml:space="preserve">. Para isso, foi calculada </w:t>
      </w:r>
      <w:r w:rsidR="00D524A3" w:rsidRPr="00141C43">
        <w:rPr>
          <w:rFonts w:ascii="Times New Roman" w:hAnsi="Times New Roman" w:cs="Times New Roman"/>
          <w:sz w:val="24"/>
          <w:szCs w:val="24"/>
        </w:rPr>
        <w:t>a rentabilidade dos instrumentos financeiros em ambas as normas</w:t>
      </w:r>
      <w:r w:rsidR="00173887" w:rsidRPr="00141C43">
        <w:rPr>
          <w:rFonts w:ascii="Times New Roman" w:hAnsi="Times New Roman" w:cs="Times New Roman"/>
          <w:sz w:val="24"/>
          <w:szCs w:val="24"/>
        </w:rPr>
        <w:t>, ressaltando, assim, a</w:t>
      </w:r>
      <w:r w:rsidR="00D524A3" w:rsidRPr="00141C43">
        <w:rPr>
          <w:rFonts w:ascii="Times New Roman" w:hAnsi="Times New Roman" w:cs="Times New Roman"/>
          <w:sz w:val="24"/>
          <w:szCs w:val="24"/>
        </w:rPr>
        <w:t xml:space="preserve"> transparência que a IFRS9 pode trazer </w:t>
      </w:r>
      <w:r w:rsidR="00173887" w:rsidRPr="00141C43">
        <w:rPr>
          <w:rFonts w:ascii="Times New Roman" w:hAnsi="Times New Roman" w:cs="Times New Roman"/>
          <w:sz w:val="24"/>
          <w:szCs w:val="24"/>
        </w:rPr>
        <w:t>a</w:t>
      </w:r>
      <w:r w:rsidR="00D524A3" w:rsidRPr="00141C43">
        <w:rPr>
          <w:rFonts w:ascii="Times New Roman" w:hAnsi="Times New Roman" w:cs="Times New Roman"/>
          <w:sz w:val="24"/>
          <w:szCs w:val="24"/>
        </w:rPr>
        <w:t>o investidor.</w:t>
      </w:r>
    </w:p>
    <w:p w14:paraId="3B8FE34C" w14:textId="3468D0FF" w:rsidR="008B0993" w:rsidRPr="00141C43" w:rsidRDefault="009C0588" w:rsidP="008B0993">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Segue n</w:t>
      </w:r>
      <w:r w:rsidR="006273D0" w:rsidRPr="00141C43">
        <w:rPr>
          <w:rFonts w:ascii="Times New Roman" w:hAnsi="Times New Roman" w:cs="Times New Roman"/>
          <w:sz w:val="24"/>
          <w:szCs w:val="24"/>
        </w:rPr>
        <w:t>a tabela</w:t>
      </w:r>
      <w:r w:rsidR="00047C96">
        <w:rPr>
          <w:rFonts w:ascii="Times New Roman" w:hAnsi="Times New Roman" w:cs="Times New Roman"/>
          <w:sz w:val="24"/>
          <w:szCs w:val="24"/>
        </w:rPr>
        <w:t xml:space="preserve"> 9</w:t>
      </w:r>
      <w:r w:rsidR="008B0993" w:rsidRPr="00141C43">
        <w:rPr>
          <w:rFonts w:ascii="Times New Roman" w:hAnsi="Times New Roman" w:cs="Times New Roman"/>
          <w:sz w:val="24"/>
          <w:szCs w:val="24"/>
        </w:rPr>
        <w:t xml:space="preserve"> a base do IAS39 contra o IFRS9</w:t>
      </w:r>
      <w:r w:rsidRPr="00141C43">
        <w:rPr>
          <w:rFonts w:ascii="Times New Roman" w:hAnsi="Times New Roman" w:cs="Times New Roman"/>
          <w:sz w:val="24"/>
          <w:szCs w:val="24"/>
        </w:rPr>
        <w:t>, mostrando a</w:t>
      </w:r>
      <w:r w:rsidR="008B0993" w:rsidRPr="00141C43">
        <w:rPr>
          <w:rFonts w:ascii="Times New Roman" w:hAnsi="Times New Roman" w:cs="Times New Roman"/>
          <w:sz w:val="24"/>
          <w:szCs w:val="24"/>
        </w:rPr>
        <w:t xml:space="preserve"> transparência do que é estar com os títulos sempre representando o valor justo</w:t>
      </w:r>
      <w:r w:rsidRPr="00141C43">
        <w:rPr>
          <w:rFonts w:ascii="Times New Roman" w:hAnsi="Times New Roman" w:cs="Times New Roman"/>
          <w:sz w:val="24"/>
          <w:szCs w:val="24"/>
        </w:rPr>
        <w:t>, segundo a</w:t>
      </w:r>
      <w:r w:rsidR="008B0993" w:rsidRPr="00141C43">
        <w:rPr>
          <w:rFonts w:ascii="Times New Roman" w:hAnsi="Times New Roman" w:cs="Times New Roman"/>
          <w:sz w:val="24"/>
          <w:szCs w:val="24"/>
        </w:rPr>
        <w:t xml:space="preserve"> IFRS9</w:t>
      </w:r>
      <w:r w:rsidRPr="00141C43">
        <w:rPr>
          <w:rFonts w:ascii="Times New Roman" w:hAnsi="Times New Roman" w:cs="Times New Roman"/>
          <w:sz w:val="24"/>
          <w:szCs w:val="24"/>
        </w:rPr>
        <w:t>:</w:t>
      </w:r>
    </w:p>
    <w:p w14:paraId="1A0FBEF1" w14:textId="48C79B6A" w:rsidR="006273D0" w:rsidRPr="00141C43" w:rsidRDefault="006273D0" w:rsidP="006273D0">
      <w:pPr>
        <w:spacing w:after="0" w:line="24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Tabela</w:t>
      </w:r>
      <w:r w:rsidR="00047C96">
        <w:rPr>
          <w:rFonts w:ascii="Times New Roman" w:hAnsi="Times New Roman" w:cs="Times New Roman"/>
          <w:sz w:val="24"/>
          <w:szCs w:val="24"/>
        </w:rPr>
        <w:t xml:space="preserve"> 9</w:t>
      </w:r>
    </w:p>
    <w:p w14:paraId="691CDF57" w14:textId="77777777" w:rsidR="008B0993" w:rsidRPr="00141C43" w:rsidRDefault="008B0993" w:rsidP="006273D0">
      <w:pPr>
        <w:spacing w:after="0" w:line="240" w:lineRule="auto"/>
        <w:ind w:firstLine="709"/>
        <w:jc w:val="both"/>
        <w:rPr>
          <w:rFonts w:ascii="Times New Roman" w:hAnsi="Times New Roman" w:cs="Times New Roman"/>
          <w:b/>
          <w:sz w:val="24"/>
          <w:szCs w:val="24"/>
        </w:rPr>
      </w:pPr>
      <w:r w:rsidRPr="00141C43">
        <w:rPr>
          <w:rFonts w:ascii="Times New Roman" w:hAnsi="Times New Roman" w:cs="Times New Roman"/>
          <w:b/>
          <w:sz w:val="24"/>
          <w:szCs w:val="24"/>
        </w:rPr>
        <w:t>IAS39 x IFRS9</w:t>
      </w:r>
    </w:p>
    <w:tbl>
      <w:tblPr>
        <w:tblW w:w="6747" w:type="dxa"/>
        <w:tblInd w:w="779" w:type="dxa"/>
        <w:tblCellMar>
          <w:left w:w="70" w:type="dxa"/>
          <w:right w:w="70" w:type="dxa"/>
        </w:tblCellMar>
        <w:tblLook w:val="04A0" w:firstRow="1" w:lastRow="0" w:firstColumn="1" w:lastColumn="0" w:noHBand="0" w:noVBand="1"/>
      </w:tblPr>
      <w:tblGrid>
        <w:gridCol w:w="1985"/>
        <w:gridCol w:w="1501"/>
        <w:gridCol w:w="1501"/>
        <w:gridCol w:w="1760"/>
      </w:tblGrid>
      <w:tr w:rsidR="008B0993" w:rsidRPr="00141C43" w14:paraId="2D112D1A" w14:textId="77777777" w:rsidTr="006273D0">
        <w:trPr>
          <w:trHeight w:val="330"/>
        </w:trPr>
        <w:tc>
          <w:tcPr>
            <w:tcW w:w="1985" w:type="dxa"/>
            <w:tcBorders>
              <w:top w:val="single" w:sz="4" w:space="0" w:color="auto"/>
              <w:left w:val="nil"/>
              <w:bottom w:val="single" w:sz="4" w:space="0" w:color="auto"/>
              <w:right w:val="nil"/>
            </w:tcBorders>
            <w:shd w:val="clear" w:color="auto" w:fill="auto"/>
            <w:noWrap/>
            <w:vAlign w:val="bottom"/>
            <w:hideMark/>
          </w:tcPr>
          <w:p w14:paraId="13B10ADD" w14:textId="77777777" w:rsidR="008B0993" w:rsidRPr="00141C43" w:rsidRDefault="008B0993" w:rsidP="008B0993">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Seguradora</w:t>
            </w:r>
          </w:p>
        </w:tc>
        <w:tc>
          <w:tcPr>
            <w:tcW w:w="1501" w:type="dxa"/>
            <w:tcBorders>
              <w:top w:val="single" w:sz="4" w:space="0" w:color="auto"/>
              <w:left w:val="nil"/>
              <w:bottom w:val="single" w:sz="4" w:space="0" w:color="auto"/>
              <w:right w:val="nil"/>
            </w:tcBorders>
            <w:shd w:val="clear" w:color="auto" w:fill="auto"/>
            <w:noWrap/>
            <w:vAlign w:val="bottom"/>
            <w:hideMark/>
          </w:tcPr>
          <w:p w14:paraId="09FA763D" w14:textId="77777777" w:rsidR="008B0993" w:rsidRPr="00141C43" w:rsidRDefault="008B0993" w:rsidP="008B0993">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IAS39</w:t>
            </w:r>
          </w:p>
        </w:tc>
        <w:tc>
          <w:tcPr>
            <w:tcW w:w="1501" w:type="dxa"/>
            <w:tcBorders>
              <w:top w:val="single" w:sz="4" w:space="0" w:color="auto"/>
              <w:left w:val="nil"/>
              <w:bottom w:val="single" w:sz="4" w:space="0" w:color="auto"/>
              <w:right w:val="nil"/>
            </w:tcBorders>
            <w:shd w:val="clear" w:color="auto" w:fill="auto"/>
            <w:noWrap/>
            <w:vAlign w:val="bottom"/>
            <w:hideMark/>
          </w:tcPr>
          <w:p w14:paraId="6896AD3E" w14:textId="77777777" w:rsidR="008B0993" w:rsidRPr="00141C43" w:rsidRDefault="008B0993" w:rsidP="008B0993">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IFRS9</w:t>
            </w:r>
          </w:p>
        </w:tc>
        <w:tc>
          <w:tcPr>
            <w:tcW w:w="1760" w:type="dxa"/>
            <w:tcBorders>
              <w:top w:val="single" w:sz="4" w:space="0" w:color="auto"/>
              <w:left w:val="nil"/>
              <w:bottom w:val="single" w:sz="4" w:space="0" w:color="auto"/>
              <w:right w:val="nil"/>
            </w:tcBorders>
            <w:shd w:val="clear" w:color="auto" w:fill="auto"/>
            <w:noWrap/>
            <w:vAlign w:val="bottom"/>
            <w:hideMark/>
          </w:tcPr>
          <w:p w14:paraId="77810E5E" w14:textId="77777777" w:rsidR="008B0993" w:rsidRPr="00141C43" w:rsidRDefault="008B0993" w:rsidP="008B0993">
            <w:pPr>
              <w:spacing w:after="0" w:line="240" w:lineRule="auto"/>
              <w:jc w:val="center"/>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w:t>
            </w:r>
          </w:p>
        </w:tc>
      </w:tr>
      <w:tr w:rsidR="008B0993" w:rsidRPr="00141C43" w14:paraId="0C9F90E9" w14:textId="77777777" w:rsidTr="006273D0">
        <w:trPr>
          <w:trHeight w:val="330"/>
        </w:trPr>
        <w:tc>
          <w:tcPr>
            <w:tcW w:w="1985" w:type="dxa"/>
            <w:tcBorders>
              <w:top w:val="single" w:sz="4" w:space="0" w:color="auto"/>
              <w:left w:val="nil"/>
              <w:bottom w:val="nil"/>
              <w:right w:val="nil"/>
            </w:tcBorders>
            <w:shd w:val="clear" w:color="auto" w:fill="auto"/>
            <w:noWrap/>
            <w:vAlign w:val="bottom"/>
            <w:hideMark/>
          </w:tcPr>
          <w:p w14:paraId="06FC0927" w14:textId="77777777" w:rsidR="008B0993" w:rsidRPr="00141C43" w:rsidRDefault="008B0993" w:rsidP="008B0993">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Bradesco Seguros</w:t>
            </w:r>
          </w:p>
        </w:tc>
        <w:tc>
          <w:tcPr>
            <w:tcW w:w="1501" w:type="dxa"/>
            <w:tcBorders>
              <w:top w:val="single" w:sz="4" w:space="0" w:color="auto"/>
              <w:left w:val="nil"/>
              <w:bottom w:val="nil"/>
              <w:right w:val="nil"/>
            </w:tcBorders>
            <w:shd w:val="clear" w:color="auto" w:fill="auto"/>
            <w:noWrap/>
            <w:vAlign w:val="bottom"/>
            <w:hideMark/>
          </w:tcPr>
          <w:p w14:paraId="0DF7D452"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196.907.947 </w:t>
            </w:r>
          </w:p>
        </w:tc>
        <w:tc>
          <w:tcPr>
            <w:tcW w:w="1501" w:type="dxa"/>
            <w:tcBorders>
              <w:top w:val="single" w:sz="4" w:space="0" w:color="auto"/>
              <w:left w:val="nil"/>
              <w:bottom w:val="nil"/>
              <w:right w:val="nil"/>
            </w:tcBorders>
            <w:shd w:val="clear" w:color="auto" w:fill="auto"/>
            <w:noWrap/>
            <w:vAlign w:val="bottom"/>
            <w:hideMark/>
          </w:tcPr>
          <w:p w14:paraId="7798F546"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213.190.870 </w:t>
            </w:r>
          </w:p>
        </w:tc>
        <w:tc>
          <w:tcPr>
            <w:tcW w:w="1760" w:type="dxa"/>
            <w:tcBorders>
              <w:top w:val="single" w:sz="4" w:space="0" w:color="auto"/>
              <w:left w:val="nil"/>
              <w:bottom w:val="nil"/>
              <w:right w:val="nil"/>
            </w:tcBorders>
            <w:shd w:val="clear" w:color="auto" w:fill="auto"/>
            <w:noWrap/>
            <w:vAlign w:val="bottom"/>
            <w:hideMark/>
          </w:tcPr>
          <w:p w14:paraId="42067411" w14:textId="77777777" w:rsidR="008B0993" w:rsidRPr="00141C43" w:rsidRDefault="008B0993" w:rsidP="008B0993">
            <w:pPr>
              <w:spacing w:after="0" w:line="240" w:lineRule="auto"/>
              <w:jc w:val="right"/>
              <w:rPr>
                <w:rFonts w:ascii="Calibri" w:eastAsia="Times New Roman" w:hAnsi="Calibri" w:cs="Calibri"/>
                <w:color w:val="000000"/>
                <w:lang w:eastAsia="pt-BR"/>
              </w:rPr>
            </w:pPr>
            <w:r w:rsidRPr="00141C43">
              <w:rPr>
                <w:rFonts w:ascii="Calibri" w:eastAsia="Times New Roman" w:hAnsi="Calibri" w:cs="Calibri"/>
                <w:color w:val="000000"/>
                <w:lang w:eastAsia="pt-BR"/>
              </w:rPr>
              <w:t>8,27%</w:t>
            </w:r>
          </w:p>
        </w:tc>
      </w:tr>
      <w:tr w:rsidR="008B0993" w:rsidRPr="00141C43" w14:paraId="0DE1B61B" w14:textId="77777777" w:rsidTr="00A0264E">
        <w:trPr>
          <w:trHeight w:val="315"/>
        </w:trPr>
        <w:tc>
          <w:tcPr>
            <w:tcW w:w="1985" w:type="dxa"/>
            <w:tcBorders>
              <w:top w:val="nil"/>
              <w:left w:val="nil"/>
              <w:bottom w:val="nil"/>
              <w:right w:val="nil"/>
            </w:tcBorders>
            <w:shd w:val="clear" w:color="auto" w:fill="auto"/>
            <w:noWrap/>
            <w:vAlign w:val="bottom"/>
            <w:hideMark/>
          </w:tcPr>
          <w:p w14:paraId="6087013A" w14:textId="77777777" w:rsidR="008B0993" w:rsidRPr="00141C43" w:rsidRDefault="008B0993" w:rsidP="008B0993">
            <w:pPr>
              <w:spacing w:after="0" w:line="240" w:lineRule="auto"/>
              <w:rPr>
                <w:rFonts w:ascii="Times New Roman" w:eastAsia="Times New Roman" w:hAnsi="Times New Roman" w:cs="Times New Roman"/>
                <w:color w:val="000000"/>
                <w:sz w:val="24"/>
                <w:szCs w:val="24"/>
                <w:lang w:eastAsia="pt-BR"/>
              </w:rPr>
            </w:pPr>
            <w:proofErr w:type="spellStart"/>
            <w:r w:rsidRPr="00141C43">
              <w:rPr>
                <w:rFonts w:ascii="Times New Roman" w:eastAsia="Times New Roman" w:hAnsi="Times New Roman" w:cs="Times New Roman"/>
                <w:color w:val="000000"/>
                <w:sz w:val="24"/>
                <w:szCs w:val="24"/>
                <w:lang w:eastAsia="pt-BR"/>
              </w:rPr>
              <w:t>Brasilprev</w:t>
            </w:r>
            <w:proofErr w:type="spellEnd"/>
          </w:p>
        </w:tc>
        <w:tc>
          <w:tcPr>
            <w:tcW w:w="1501" w:type="dxa"/>
            <w:tcBorders>
              <w:top w:val="nil"/>
              <w:left w:val="nil"/>
              <w:bottom w:val="nil"/>
              <w:right w:val="nil"/>
            </w:tcBorders>
            <w:shd w:val="clear" w:color="auto" w:fill="auto"/>
            <w:noWrap/>
            <w:vAlign w:val="bottom"/>
            <w:hideMark/>
          </w:tcPr>
          <w:p w14:paraId="3646EBF5"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147.679.831 </w:t>
            </w:r>
          </w:p>
        </w:tc>
        <w:tc>
          <w:tcPr>
            <w:tcW w:w="1501" w:type="dxa"/>
            <w:tcBorders>
              <w:top w:val="nil"/>
              <w:left w:val="nil"/>
              <w:bottom w:val="nil"/>
              <w:right w:val="nil"/>
            </w:tcBorders>
            <w:shd w:val="clear" w:color="auto" w:fill="auto"/>
            <w:noWrap/>
            <w:vAlign w:val="bottom"/>
            <w:hideMark/>
          </w:tcPr>
          <w:p w14:paraId="59D6E055"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151.860.032 </w:t>
            </w:r>
          </w:p>
        </w:tc>
        <w:tc>
          <w:tcPr>
            <w:tcW w:w="1760" w:type="dxa"/>
            <w:tcBorders>
              <w:top w:val="nil"/>
              <w:left w:val="nil"/>
              <w:bottom w:val="nil"/>
              <w:right w:val="nil"/>
            </w:tcBorders>
            <w:shd w:val="clear" w:color="auto" w:fill="auto"/>
            <w:noWrap/>
            <w:vAlign w:val="bottom"/>
            <w:hideMark/>
          </w:tcPr>
          <w:p w14:paraId="2368FDEA" w14:textId="77777777" w:rsidR="008B0993" w:rsidRPr="00141C43" w:rsidRDefault="008B0993" w:rsidP="008B0993">
            <w:pPr>
              <w:spacing w:after="0" w:line="240" w:lineRule="auto"/>
              <w:jc w:val="right"/>
              <w:rPr>
                <w:rFonts w:ascii="Calibri" w:eastAsia="Times New Roman" w:hAnsi="Calibri" w:cs="Calibri"/>
                <w:color w:val="000000"/>
                <w:lang w:eastAsia="pt-BR"/>
              </w:rPr>
            </w:pPr>
            <w:r w:rsidRPr="00141C43">
              <w:rPr>
                <w:rFonts w:ascii="Calibri" w:eastAsia="Times New Roman" w:hAnsi="Calibri" w:cs="Calibri"/>
                <w:color w:val="000000"/>
                <w:lang w:eastAsia="pt-BR"/>
              </w:rPr>
              <w:t>2,83%</w:t>
            </w:r>
          </w:p>
        </w:tc>
      </w:tr>
      <w:tr w:rsidR="008B0993" w:rsidRPr="00141C43" w14:paraId="5EE8AF0A" w14:textId="77777777" w:rsidTr="00A0264E">
        <w:trPr>
          <w:trHeight w:val="315"/>
        </w:trPr>
        <w:tc>
          <w:tcPr>
            <w:tcW w:w="1985" w:type="dxa"/>
            <w:tcBorders>
              <w:top w:val="nil"/>
              <w:left w:val="nil"/>
              <w:bottom w:val="nil"/>
              <w:right w:val="nil"/>
            </w:tcBorders>
            <w:shd w:val="clear" w:color="auto" w:fill="auto"/>
            <w:noWrap/>
            <w:vAlign w:val="bottom"/>
            <w:hideMark/>
          </w:tcPr>
          <w:p w14:paraId="2713D0D9" w14:textId="77777777" w:rsidR="008B0993" w:rsidRPr="00141C43" w:rsidRDefault="008B0993" w:rsidP="008B0993">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Itaú Seguros</w:t>
            </w:r>
          </w:p>
        </w:tc>
        <w:tc>
          <w:tcPr>
            <w:tcW w:w="1501" w:type="dxa"/>
            <w:tcBorders>
              <w:top w:val="nil"/>
              <w:left w:val="nil"/>
              <w:bottom w:val="nil"/>
              <w:right w:val="nil"/>
            </w:tcBorders>
            <w:shd w:val="clear" w:color="auto" w:fill="auto"/>
            <w:noWrap/>
            <w:vAlign w:val="bottom"/>
            <w:hideMark/>
          </w:tcPr>
          <w:p w14:paraId="3E3FE0A9"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112.446.085 </w:t>
            </w:r>
          </w:p>
        </w:tc>
        <w:tc>
          <w:tcPr>
            <w:tcW w:w="1501" w:type="dxa"/>
            <w:tcBorders>
              <w:top w:val="nil"/>
              <w:left w:val="nil"/>
              <w:bottom w:val="nil"/>
              <w:right w:val="nil"/>
            </w:tcBorders>
            <w:shd w:val="clear" w:color="auto" w:fill="auto"/>
            <w:noWrap/>
            <w:vAlign w:val="bottom"/>
            <w:hideMark/>
          </w:tcPr>
          <w:p w14:paraId="339A8657"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114.900.011 </w:t>
            </w:r>
          </w:p>
        </w:tc>
        <w:tc>
          <w:tcPr>
            <w:tcW w:w="1760" w:type="dxa"/>
            <w:tcBorders>
              <w:top w:val="nil"/>
              <w:left w:val="nil"/>
              <w:bottom w:val="nil"/>
              <w:right w:val="nil"/>
            </w:tcBorders>
            <w:shd w:val="clear" w:color="auto" w:fill="auto"/>
            <w:noWrap/>
            <w:vAlign w:val="bottom"/>
            <w:hideMark/>
          </w:tcPr>
          <w:p w14:paraId="4A20945E" w14:textId="77777777" w:rsidR="008B0993" w:rsidRPr="00141C43" w:rsidRDefault="008B0993" w:rsidP="008B0993">
            <w:pPr>
              <w:spacing w:after="0" w:line="240" w:lineRule="auto"/>
              <w:jc w:val="right"/>
              <w:rPr>
                <w:rFonts w:ascii="Calibri" w:eastAsia="Times New Roman" w:hAnsi="Calibri" w:cs="Calibri"/>
                <w:color w:val="000000"/>
                <w:lang w:eastAsia="pt-BR"/>
              </w:rPr>
            </w:pPr>
            <w:r w:rsidRPr="00141C43">
              <w:rPr>
                <w:rFonts w:ascii="Calibri" w:eastAsia="Times New Roman" w:hAnsi="Calibri" w:cs="Calibri"/>
                <w:color w:val="000000"/>
                <w:lang w:eastAsia="pt-BR"/>
              </w:rPr>
              <w:t>2,18%</w:t>
            </w:r>
          </w:p>
        </w:tc>
      </w:tr>
      <w:tr w:rsidR="008B0993" w:rsidRPr="00141C43" w14:paraId="0796E226" w14:textId="77777777" w:rsidTr="00A0264E">
        <w:trPr>
          <w:trHeight w:val="330"/>
        </w:trPr>
        <w:tc>
          <w:tcPr>
            <w:tcW w:w="1985" w:type="dxa"/>
            <w:tcBorders>
              <w:top w:val="nil"/>
              <w:left w:val="nil"/>
              <w:bottom w:val="nil"/>
              <w:right w:val="nil"/>
            </w:tcBorders>
            <w:shd w:val="clear" w:color="auto" w:fill="auto"/>
            <w:noWrap/>
            <w:vAlign w:val="bottom"/>
            <w:hideMark/>
          </w:tcPr>
          <w:p w14:paraId="1F900B1F" w14:textId="77777777" w:rsidR="008B0993" w:rsidRPr="00141C43" w:rsidRDefault="008B0993" w:rsidP="008B0993">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BB Mapfre</w:t>
            </w:r>
          </w:p>
        </w:tc>
        <w:tc>
          <w:tcPr>
            <w:tcW w:w="1501" w:type="dxa"/>
            <w:tcBorders>
              <w:top w:val="nil"/>
              <w:left w:val="nil"/>
              <w:bottom w:val="nil"/>
              <w:right w:val="nil"/>
            </w:tcBorders>
            <w:shd w:val="clear" w:color="auto" w:fill="auto"/>
            <w:noWrap/>
            <w:vAlign w:val="bottom"/>
            <w:hideMark/>
          </w:tcPr>
          <w:p w14:paraId="74075ABB"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5.402.514 </w:t>
            </w:r>
          </w:p>
        </w:tc>
        <w:tc>
          <w:tcPr>
            <w:tcW w:w="1501" w:type="dxa"/>
            <w:tcBorders>
              <w:top w:val="nil"/>
              <w:left w:val="nil"/>
              <w:bottom w:val="nil"/>
              <w:right w:val="nil"/>
            </w:tcBorders>
            <w:shd w:val="clear" w:color="auto" w:fill="auto"/>
            <w:noWrap/>
            <w:vAlign w:val="bottom"/>
            <w:hideMark/>
          </w:tcPr>
          <w:p w14:paraId="5930BA28" w14:textId="77777777" w:rsidR="008B0993" w:rsidRPr="00141C43" w:rsidRDefault="00A0264E"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w:t>
            </w:r>
            <w:r w:rsidR="008B0993" w:rsidRPr="00141C43">
              <w:rPr>
                <w:rFonts w:ascii="Calibri" w:eastAsia="Times New Roman" w:hAnsi="Calibri" w:cs="Calibri"/>
                <w:color w:val="000000"/>
                <w:lang w:eastAsia="pt-BR"/>
              </w:rPr>
              <w:t xml:space="preserve">        6.437.295 </w:t>
            </w:r>
          </w:p>
        </w:tc>
        <w:tc>
          <w:tcPr>
            <w:tcW w:w="1760" w:type="dxa"/>
            <w:tcBorders>
              <w:top w:val="nil"/>
              <w:left w:val="nil"/>
              <w:bottom w:val="nil"/>
              <w:right w:val="nil"/>
            </w:tcBorders>
            <w:shd w:val="clear" w:color="auto" w:fill="auto"/>
            <w:noWrap/>
            <w:vAlign w:val="bottom"/>
            <w:hideMark/>
          </w:tcPr>
          <w:p w14:paraId="3D62850C" w14:textId="77777777" w:rsidR="008B0993" w:rsidRPr="00141C43" w:rsidRDefault="008B0993" w:rsidP="008B0993">
            <w:pPr>
              <w:spacing w:after="0" w:line="240" w:lineRule="auto"/>
              <w:jc w:val="right"/>
              <w:rPr>
                <w:rFonts w:ascii="Calibri" w:eastAsia="Times New Roman" w:hAnsi="Calibri" w:cs="Calibri"/>
                <w:color w:val="000000"/>
                <w:lang w:eastAsia="pt-BR"/>
              </w:rPr>
            </w:pPr>
            <w:r w:rsidRPr="00141C43">
              <w:rPr>
                <w:rFonts w:ascii="Calibri" w:eastAsia="Times New Roman" w:hAnsi="Calibri" w:cs="Calibri"/>
                <w:color w:val="000000"/>
                <w:lang w:eastAsia="pt-BR"/>
              </w:rPr>
              <w:t>19,15%</w:t>
            </w:r>
          </w:p>
        </w:tc>
      </w:tr>
      <w:tr w:rsidR="008B0993" w:rsidRPr="00141C43" w14:paraId="4112D2A9" w14:textId="77777777" w:rsidTr="006273D0">
        <w:trPr>
          <w:trHeight w:val="330"/>
        </w:trPr>
        <w:tc>
          <w:tcPr>
            <w:tcW w:w="1985" w:type="dxa"/>
            <w:tcBorders>
              <w:top w:val="nil"/>
              <w:left w:val="nil"/>
              <w:bottom w:val="single" w:sz="4" w:space="0" w:color="auto"/>
              <w:right w:val="nil"/>
            </w:tcBorders>
            <w:shd w:val="clear" w:color="auto" w:fill="auto"/>
            <w:noWrap/>
            <w:vAlign w:val="bottom"/>
            <w:hideMark/>
          </w:tcPr>
          <w:p w14:paraId="426E758A" w14:textId="77777777" w:rsidR="008B0993" w:rsidRPr="00141C43" w:rsidRDefault="008B0993" w:rsidP="008B0993">
            <w:pPr>
              <w:spacing w:after="0" w:line="240" w:lineRule="auto"/>
              <w:rPr>
                <w:rFonts w:ascii="Times New Roman" w:eastAsia="Times New Roman" w:hAnsi="Times New Roman" w:cs="Times New Roman"/>
                <w:color w:val="000000"/>
                <w:sz w:val="24"/>
                <w:szCs w:val="24"/>
                <w:lang w:eastAsia="pt-BR"/>
              </w:rPr>
            </w:pPr>
            <w:r w:rsidRPr="00141C43">
              <w:rPr>
                <w:rFonts w:ascii="Times New Roman" w:eastAsia="Times New Roman" w:hAnsi="Times New Roman" w:cs="Times New Roman"/>
                <w:color w:val="000000"/>
                <w:sz w:val="24"/>
                <w:szCs w:val="24"/>
                <w:lang w:eastAsia="pt-BR"/>
              </w:rPr>
              <w:t>Caixa Seguros</w:t>
            </w:r>
          </w:p>
        </w:tc>
        <w:tc>
          <w:tcPr>
            <w:tcW w:w="1501" w:type="dxa"/>
            <w:tcBorders>
              <w:top w:val="nil"/>
              <w:left w:val="nil"/>
              <w:bottom w:val="single" w:sz="4" w:space="0" w:color="auto"/>
              <w:right w:val="nil"/>
            </w:tcBorders>
            <w:shd w:val="clear" w:color="auto" w:fill="auto"/>
            <w:noWrap/>
            <w:vAlign w:val="bottom"/>
            <w:hideMark/>
          </w:tcPr>
          <w:p w14:paraId="22A00FA4"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186.737 </w:t>
            </w:r>
          </w:p>
        </w:tc>
        <w:tc>
          <w:tcPr>
            <w:tcW w:w="1501" w:type="dxa"/>
            <w:tcBorders>
              <w:top w:val="nil"/>
              <w:left w:val="nil"/>
              <w:bottom w:val="single" w:sz="4" w:space="0" w:color="auto"/>
              <w:right w:val="nil"/>
            </w:tcBorders>
            <w:shd w:val="clear" w:color="auto" w:fill="auto"/>
            <w:noWrap/>
            <w:vAlign w:val="bottom"/>
            <w:hideMark/>
          </w:tcPr>
          <w:p w14:paraId="7184DE9E" w14:textId="77777777" w:rsidR="008B0993" w:rsidRPr="00141C43" w:rsidRDefault="008B0993" w:rsidP="008B0993">
            <w:pPr>
              <w:spacing w:after="0" w:line="240" w:lineRule="auto"/>
              <w:rPr>
                <w:rFonts w:ascii="Calibri" w:eastAsia="Times New Roman" w:hAnsi="Calibri" w:cs="Calibri"/>
                <w:color w:val="000000"/>
                <w:lang w:eastAsia="pt-BR"/>
              </w:rPr>
            </w:pPr>
            <w:r w:rsidRPr="00141C43">
              <w:rPr>
                <w:rFonts w:ascii="Calibri" w:eastAsia="Times New Roman" w:hAnsi="Calibri" w:cs="Calibri"/>
                <w:color w:val="000000"/>
                <w:lang w:eastAsia="pt-BR"/>
              </w:rPr>
              <w:t xml:space="preserve">            208.593 </w:t>
            </w:r>
          </w:p>
        </w:tc>
        <w:tc>
          <w:tcPr>
            <w:tcW w:w="1760" w:type="dxa"/>
            <w:tcBorders>
              <w:top w:val="nil"/>
              <w:left w:val="nil"/>
              <w:bottom w:val="single" w:sz="4" w:space="0" w:color="auto"/>
              <w:right w:val="nil"/>
            </w:tcBorders>
            <w:shd w:val="clear" w:color="auto" w:fill="auto"/>
            <w:noWrap/>
            <w:vAlign w:val="bottom"/>
            <w:hideMark/>
          </w:tcPr>
          <w:p w14:paraId="115D3DA6" w14:textId="77777777" w:rsidR="008B0993" w:rsidRPr="00141C43" w:rsidRDefault="008B0993" w:rsidP="008B0993">
            <w:pPr>
              <w:spacing w:after="0" w:line="240" w:lineRule="auto"/>
              <w:jc w:val="right"/>
              <w:rPr>
                <w:rFonts w:ascii="Calibri" w:eastAsia="Times New Roman" w:hAnsi="Calibri" w:cs="Calibri"/>
                <w:color w:val="000000"/>
                <w:lang w:eastAsia="pt-BR"/>
              </w:rPr>
            </w:pPr>
            <w:r w:rsidRPr="00141C43">
              <w:rPr>
                <w:rFonts w:ascii="Calibri" w:eastAsia="Times New Roman" w:hAnsi="Calibri" w:cs="Calibri"/>
                <w:color w:val="000000"/>
                <w:lang w:eastAsia="pt-BR"/>
              </w:rPr>
              <w:t>11,70%</w:t>
            </w:r>
          </w:p>
        </w:tc>
      </w:tr>
      <w:tr w:rsidR="008B0993" w:rsidRPr="00141C43" w14:paraId="0AEBEAEC" w14:textId="77777777" w:rsidTr="006273D0">
        <w:trPr>
          <w:trHeight w:val="330"/>
        </w:trPr>
        <w:tc>
          <w:tcPr>
            <w:tcW w:w="1985" w:type="dxa"/>
            <w:tcBorders>
              <w:top w:val="single" w:sz="4" w:space="0" w:color="auto"/>
              <w:left w:val="nil"/>
              <w:bottom w:val="single" w:sz="4" w:space="0" w:color="auto"/>
              <w:right w:val="nil"/>
            </w:tcBorders>
            <w:shd w:val="clear" w:color="auto" w:fill="auto"/>
            <w:noWrap/>
            <w:vAlign w:val="bottom"/>
            <w:hideMark/>
          </w:tcPr>
          <w:p w14:paraId="0A287092" w14:textId="77777777" w:rsidR="008B0993" w:rsidRPr="00141C43" w:rsidRDefault="008B0993" w:rsidP="008B0993">
            <w:pPr>
              <w:spacing w:after="0" w:line="240" w:lineRule="auto"/>
              <w:rPr>
                <w:rFonts w:ascii="Times New Roman" w:eastAsia="Times New Roman" w:hAnsi="Times New Roman" w:cs="Times New Roman"/>
                <w:b/>
                <w:bCs/>
                <w:color w:val="000000"/>
                <w:sz w:val="24"/>
                <w:szCs w:val="24"/>
                <w:lang w:eastAsia="pt-BR"/>
              </w:rPr>
            </w:pPr>
            <w:r w:rsidRPr="00141C43">
              <w:rPr>
                <w:rFonts w:ascii="Times New Roman" w:eastAsia="Times New Roman" w:hAnsi="Times New Roman" w:cs="Times New Roman"/>
                <w:b/>
                <w:bCs/>
                <w:color w:val="000000"/>
                <w:sz w:val="24"/>
                <w:szCs w:val="24"/>
                <w:lang w:eastAsia="pt-BR"/>
              </w:rPr>
              <w:t>Total</w:t>
            </w:r>
          </w:p>
        </w:tc>
        <w:tc>
          <w:tcPr>
            <w:tcW w:w="1501" w:type="dxa"/>
            <w:tcBorders>
              <w:top w:val="single" w:sz="4" w:space="0" w:color="auto"/>
              <w:left w:val="nil"/>
              <w:bottom w:val="single" w:sz="4" w:space="0" w:color="auto"/>
              <w:right w:val="nil"/>
            </w:tcBorders>
            <w:shd w:val="clear" w:color="auto" w:fill="auto"/>
            <w:noWrap/>
            <w:vAlign w:val="bottom"/>
            <w:hideMark/>
          </w:tcPr>
          <w:p w14:paraId="4C7335FA" w14:textId="77777777" w:rsidR="008B0993" w:rsidRPr="00141C43" w:rsidRDefault="008B0993" w:rsidP="008B0993">
            <w:pPr>
              <w:spacing w:after="0" w:line="240" w:lineRule="auto"/>
              <w:rPr>
                <w:rFonts w:ascii="Calibri" w:eastAsia="Times New Roman" w:hAnsi="Calibri" w:cs="Calibri"/>
                <w:b/>
                <w:bCs/>
                <w:color w:val="000000"/>
                <w:lang w:eastAsia="pt-BR"/>
              </w:rPr>
            </w:pPr>
            <w:r w:rsidRPr="00141C43">
              <w:rPr>
                <w:rFonts w:ascii="Calibri" w:eastAsia="Times New Roman" w:hAnsi="Calibri" w:cs="Calibri"/>
                <w:b/>
                <w:bCs/>
                <w:color w:val="000000"/>
                <w:lang w:eastAsia="pt-BR"/>
              </w:rPr>
              <w:t xml:space="preserve">    462.623.114 </w:t>
            </w:r>
          </w:p>
        </w:tc>
        <w:tc>
          <w:tcPr>
            <w:tcW w:w="1501" w:type="dxa"/>
            <w:tcBorders>
              <w:top w:val="single" w:sz="4" w:space="0" w:color="auto"/>
              <w:left w:val="nil"/>
              <w:bottom w:val="single" w:sz="4" w:space="0" w:color="auto"/>
              <w:right w:val="nil"/>
            </w:tcBorders>
            <w:shd w:val="clear" w:color="auto" w:fill="auto"/>
            <w:noWrap/>
            <w:vAlign w:val="bottom"/>
            <w:hideMark/>
          </w:tcPr>
          <w:p w14:paraId="7AEAA6B6" w14:textId="77777777" w:rsidR="008B0993" w:rsidRPr="00141C43" w:rsidRDefault="008B0993" w:rsidP="008B0993">
            <w:pPr>
              <w:spacing w:after="0" w:line="240" w:lineRule="auto"/>
              <w:rPr>
                <w:rFonts w:ascii="Calibri" w:eastAsia="Times New Roman" w:hAnsi="Calibri" w:cs="Calibri"/>
                <w:b/>
                <w:bCs/>
                <w:color w:val="000000"/>
                <w:lang w:eastAsia="pt-BR"/>
              </w:rPr>
            </w:pPr>
            <w:r w:rsidRPr="00141C43">
              <w:rPr>
                <w:rFonts w:ascii="Calibri" w:eastAsia="Times New Roman" w:hAnsi="Calibri" w:cs="Calibri"/>
                <w:b/>
                <w:bCs/>
                <w:color w:val="000000"/>
                <w:lang w:eastAsia="pt-BR"/>
              </w:rPr>
              <w:t xml:space="preserve">    486.596.801 </w:t>
            </w:r>
          </w:p>
        </w:tc>
        <w:tc>
          <w:tcPr>
            <w:tcW w:w="1760" w:type="dxa"/>
            <w:tcBorders>
              <w:top w:val="single" w:sz="4" w:space="0" w:color="auto"/>
              <w:left w:val="nil"/>
              <w:bottom w:val="single" w:sz="4" w:space="0" w:color="auto"/>
              <w:right w:val="nil"/>
            </w:tcBorders>
            <w:shd w:val="clear" w:color="auto" w:fill="auto"/>
            <w:noWrap/>
            <w:vAlign w:val="bottom"/>
            <w:hideMark/>
          </w:tcPr>
          <w:p w14:paraId="170A8DBB" w14:textId="77777777" w:rsidR="008B0993" w:rsidRPr="00141C43" w:rsidRDefault="008B0993" w:rsidP="008B0993">
            <w:pPr>
              <w:spacing w:after="0" w:line="240" w:lineRule="auto"/>
              <w:jc w:val="right"/>
              <w:rPr>
                <w:rFonts w:ascii="Calibri" w:eastAsia="Times New Roman" w:hAnsi="Calibri" w:cs="Calibri"/>
                <w:b/>
                <w:bCs/>
                <w:color w:val="000000"/>
                <w:lang w:eastAsia="pt-BR"/>
              </w:rPr>
            </w:pPr>
            <w:r w:rsidRPr="00141C43">
              <w:rPr>
                <w:rFonts w:ascii="Calibri" w:eastAsia="Times New Roman" w:hAnsi="Calibri" w:cs="Calibri"/>
                <w:b/>
                <w:bCs/>
                <w:color w:val="000000"/>
                <w:lang w:eastAsia="pt-BR"/>
              </w:rPr>
              <w:t>5,18%</w:t>
            </w:r>
          </w:p>
        </w:tc>
      </w:tr>
    </w:tbl>
    <w:p w14:paraId="5443362B" w14:textId="77777777" w:rsidR="00235152" w:rsidRDefault="00235152" w:rsidP="00A0264E">
      <w:pPr>
        <w:spacing w:before="120" w:after="120" w:line="360" w:lineRule="auto"/>
        <w:ind w:firstLine="709"/>
        <w:jc w:val="both"/>
        <w:rPr>
          <w:rFonts w:ascii="Times New Roman" w:hAnsi="Times New Roman" w:cs="Times New Roman"/>
          <w:sz w:val="24"/>
          <w:szCs w:val="24"/>
        </w:rPr>
      </w:pPr>
    </w:p>
    <w:p w14:paraId="70E3093F" w14:textId="2F1BB032" w:rsidR="005C1D14" w:rsidRPr="00141C43" w:rsidRDefault="00A0264E" w:rsidP="00A0264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Observa-se a grande diferença entre as normas</w:t>
      </w:r>
      <w:r w:rsidR="009C0588" w:rsidRPr="00141C43">
        <w:rPr>
          <w:rFonts w:ascii="Times New Roman" w:hAnsi="Times New Roman" w:cs="Times New Roman"/>
          <w:sz w:val="24"/>
          <w:szCs w:val="24"/>
        </w:rPr>
        <w:t>,</w:t>
      </w:r>
      <w:r w:rsidRPr="00141C43">
        <w:rPr>
          <w:rFonts w:ascii="Times New Roman" w:hAnsi="Times New Roman" w:cs="Times New Roman"/>
          <w:sz w:val="24"/>
          <w:szCs w:val="24"/>
        </w:rPr>
        <w:t xml:space="preserve"> pois o nível de rentabilidade do</w:t>
      </w:r>
      <w:r w:rsidR="009C0588" w:rsidRPr="00141C43">
        <w:rPr>
          <w:rFonts w:ascii="Times New Roman" w:hAnsi="Times New Roman" w:cs="Times New Roman"/>
          <w:sz w:val="24"/>
          <w:szCs w:val="24"/>
        </w:rPr>
        <w:t>s instrumentos financeiros muda</w:t>
      </w:r>
      <w:r w:rsidRPr="00141C43">
        <w:rPr>
          <w:rFonts w:ascii="Times New Roman" w:hAnsi="Times New Roman" w:cs="Times New Roman"/>
          <w:sz w:val="24"/>
          <w:szCs w:val="24"/>
        </w:rPr>
        <w:t xml:space="preserve"> de forma significativa. Apesar d</w:t>
      </w:r>
      <w:r w:rsidR="009C0588" w:rsidRPr="00141C43">
        <w:rPr>
          <w:rFonts w:ascii="Times New Roman" w:hAnsi="Times New Roman" w:cs="Times New Roman"/>
          <w:sz w:val="24"/>
          <w:szCs w:val="24"/>
        </w:rPr>
        <w:t xml:space="preserve">e </w:t>
      </w:r>
      <w:r w:rsidRPr="00141C43">
        <w:rPr>
          <w:rFonts w:ascii="Times New Roman" w:hAnsi="Times New Roman" w:cs="Times New Roman"/>
          <w:sz w:val="24"/>
          <w:szCs w:val="24"/>
        </w:rPr>
        <w:t xml:space="preserve">o estudo </w:t>
      </w:r>
      <w:r w:rsidR="009C0588" w:rsidRPr="00141C43">
        <w:rPr>
          <w:rFonts w:ascii="Times New Roman" w:hAnsi="Times New Roman" w:cs="Times New Roman"/>
          <w:sz w:val="24"/>
          <w:szCs w:val="24"/>
        </w:rPr>
        <w:t xml:space="preserve">ter sido </w:t>
      </w:r>
      <w:r w:rsidRPr="00141C43">
        <w:rPr>
          <w:rFonts w:ascii="Times New Roman" w:hAnsi="Times New Roman" w:cs="Times New Roman"/>
          <w:sz w:val="24"/>
          <w:szCs w:val="24"/>
        </w:rPr>
        <w:t>feito por estimativa</w:t>
      </w:r>
      <w:r w:rsidR="009C0588" w:rsidRPr="00141C43">
        <w:rPr>
          <w:rFonts w:ascii="Times New Roman" w:hAnsi="Times New Roman" w:cs="Times New Roman"/>
          <w:sz w:val="24"/>
          <w:szCs w:val="24"/>
        </w:rPr>
        <w:t xml:space="preserve">, é </w:t>
      </w:r>
      <w:r w:rsidR="000E7578" w:rsidRPr="00141C43">
        <w:rPr>
          <w:rFonts w:ascii="Times New Roman" w:hAnsi="Times New Roman" w:cs="Times New Roman"/>
          <w:sz w:val="24"/>
          <w:szCs w:val="24"/>
        </w:rPr>
        <w:t>possível</w:t>
      </w:r>
      <w:r w:rsidRPr="00141C43">
        <w:rPr>
          <w:rFonts w:ascii="Times New Roman" w:hAnsi="Times New Roman" w:cs="Times New Roman"/>
          <w:sz w:val="24"/>
          <w:szCs w:val="24"/>
        </w:rPr>
        <w:t xml:space="preserve"> verificar</w:t>
      </w:r>
      <w:r w:rsidR="00AF3982" w:rsidRPr="00141C43">
        <w:rPr>
          <w:rFonts w:ascii="Times New Roman" w:hAnsi="Times New Roman" w:cs="Times New Roman"/>
          <w:sz w:val="24"/>
          <w:szCs w:val="24"/>
        </w:rPr>
        <w:t xml:space="preserve"> a diferença para visualizar </w:t>
      </w:r>
      <w:r w:rsidRPr="00141C43">
        <w:rPr>
          <w:rFonts w:ascii="Times New Roman" w:hAnsi="Times New Roman" w:cs="Times New Roman"/>
          <w:sz w:val="24"/>
          <w:szCs w:val="24"/>
        </w:rPr>
        <w:t>o usuário externo.</w:t>
      </w:r>
    </w:p>
    <w:p w14:paraId="50E6AB60" w14:textId="4B10E9F7" w:rsidR="007C1527" w:rsidRPr="00141C43" w:rsidRDefault="007C1527" w:rsidP="00A0264E">
      <w:pPr>
        <w:spacing w:before="120" w:after="12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Um dos grandes fatores </w:t>
      </w:r>
      <w:r w:rsidR="000E7578" w:rsidRPr="00141C43">
        <w:rPr>
          <w:rFonts w:ascii="Times New Roman" w:hAnsi="Times New Roman" w:cs="Times New Roman"/>
          <w:sz w:val="24"/>
          <w:szCs w:val="24"/>
        </w:rPr>
        <w:t>a ser observado</w:t>
      </w:r>
      <w:r w:rsidRPr="00141C43">
        <w:rPr>
          <w:rFonts w:ascii="Times New Roman" w:hAnsi="Times New Roman" w:cs="Times New Roman"/>
          <w:sz w:val="24"/>
          <w:szCs w:val="24"/>
        </w:rPr>
        <w:t xml:space="preserve"> entre a</w:t>
      </w:r>
      <w:r w:rsidR="009C0588" w:rsidRPr="00141C43">
        <w:rPr>
          <w:rFonts w:ascii="Times New Roman" w:hAnsi="Times New Roman" w:cs="Times New Roman"/>
          <w:sz w:val="24"/>
          <w:szCs w:val="24"/>
        </w:rPr>
        <w:t>s</w:t>
      </w:r>
      <w:r w:rsidRPr="00141C43">
        <w:rPr>
          <w:rFonts w:ascii="Times New Roman" w:hAnsi="Times New Roman" w:cs="Times New Roman"/>
          <w:sz w:val="24"/>
          <w:szCs w:val="24"/>
        </w:rPr>
        <w:t xml:space="preserve"> tabela</w:t>
      </w:r>
      <w:r w:rsidR="009C0588" w:rsidRPr="00141C43">
        <w:rPr>
          <w:rFonts w:ascii="Times New Roman" w:hAnsi="Times New Roman" w:cs="Times New Roman"/>
          <w:sz w:val="24"/>
          <w:szCs w:val="24"/>
        </w:rPr>
        <w:t>s</w:t>
      </w:r>
      <w:r w:rsidRPr="00141C43">
        <w:rPr>
          <w:rFonts w:ascii="Times New Roman" w:hAnsi="Times New Roman" w:cs="Times New Roman"/>
          <w:sz w:val="24"/>
          <w:szCs w:val="24"/>
        </w:rPr>
        <w:t xml:space="preserve"> 12 e 13 </w:t>
      </w:r>
      <w:r w:rsidR="000E7578" w:rsidRPr="00141C43">
        <w:rPr>
          <w:rFonts w:ascii="Times New Roman" w:hAnsi="Times New Roman" w:cs="Times New Roman"/>
          <w:sz w:val="24"/>
          <w:szCs w:val="24"/>
        </w:rPr>
        <w:t>é</w:t>
      </w:r>
      <w:r w:rsidRPr="00141C43">
        <w:rPr>
          <w:rFonts w:ascii="Times New Roman" w:hAnsi="Times New Roman" w:cs="Times New Roman"/>
          <w:sz w:val="24"/>
          <w:szCs w:val="24"/>
        </w:rPr>
        <w:t xml:space="preserve"> a alteração no ajuste a valor de mercado (</w:t>
      </w:r>
      <w:proofErr w:type="spellStart"/>
      <w:r w:rsidRPr="00141C43">
        <w:rPr>
          <w:rFonts w:ascii="Times New Roman" w:hAnsi="Times New Roman" w:cs="Times New Roman"/>
          <w:sz w:val="24"/>
          <w:szCs w:val="24"/>
        </w:rPr>
        <w:t>MtM</w:t>
      </w:r>
      <w:proofErr w:type="spellEnd"/>
      <w:r w:rsidRPr="00141C43">
        <w:rPr>
          <w:rFonts w:ascii="Times New Roman" w:hAnsi="Times New Roman" w:cs="Times New Roman"/>
          <w:sz w:val="24"/>
          <w:szCs w:val="24"/>
        </w:rPr>
        <w:t>) e os valores demonstrados sobre o custo amortizado</w:t>
      </w:r>
      <w:r w:rsidR="009C0588" w:rsidRPr="00141C43">
        <w:rPr>
          <w:rFonts w:ascii="Times New Roman" w:hAnsi="Times New Roman" w:cs="Times New Roman"/>
          <w:sz w:val="24"/>
          <w:szCs w:val="24"/>
        </w:rPr>
        <w:t>,</w:t>
      </w:r>
      <w:r w:rsidRPr="00141C43">
        <w:rPr>
          <w:rFonts w:ascii="Times New Roman" w:hAnsi="Times New Roman" w:cs="Times New Roman"/>
          <w:sz w:val="24"/>
          <w:szCs w:val="24"/>
        </w:rPr>
        <w:t xml:space="preserve"> que apresent</w:t>
      </w:r>
      <w:r w:rsidR="009C0588" w:rsidRPr="00141C43">
        <w:rPr>
          <w:rFonts w:ascii="Times New Roman" w:hAnsi="Times New Roman" w:cs="Times New Roman"/>
          <w:sz w:val="24"/>
          <w:szCs w:val="24"/>
        </w:rPr>
        <w:t>ara</w:t>
      </w:r>
      <w:r w:rsidRPr="00141C43">
        <w:rPr>
          <w:rFonts w:ascii="Times New Roman" w:hAnsi="Times New Roman" w:cs="Times New Roman"/>
          <w:sz w:val="24"/>
          <w:szCs w:val="24"/>
        </w:rPr>
        <w:t>m a grande diferença sobre as classificações.</w:t>
      </w:r>
    </w:p>
    <w:p w14:paraId="7BCC9E49" w14:textId="70BC5A1C" w:rsidR="005C1D14" w:rsidRPr="00141C43" w:rsidRDefault="00807323" w:rsidP="00D55EBA">
      <w:pPr>
        <w:pStyle w:val="Ttulo1"/>
        <w:spacing w:before="240" w:after="240" w:line="240" w:lineRule="auto"/>
        <w:jc w:val="both"/>
        <w:rPr>
          <w:rFonts w:ascii="Times New Roman" w:hAnsi="Times New Roman" w:cs="Times New Roman"/>
          <w:color w:val="000000" w:themeColor="text1"/>
          <w:sz w:val="24"/>
          <w:szCs w:val="24"/>
        </w:rPr>
      </w:pPr>
      <w:bookmarkStart w:id="12" w:name="_Toc469928723"/>
      <w:r>
        <w:rPr>
          <w:rFonts w:ascii="Times New Roman" w:hAnsi="Times New Roman" w:cs="Times New Roman"/>
          <w:color w:val="000000" w:themeColor="text1"/>
          <w:sz w:val="24"/>
          <w:szCs w:val="24"/>
        </w:rPr>
        <w:t>4</w:t>
      </w:r>
      <w:r w:rsidR="005C1D14" w:rsidRPr="00141C43">
        <w:rPr>
          <w:rFonts w:ascii="Times New Roman" w:hAnsi="Times New Roman" w:cs="Times New Roman"/>
          <w:color w:val="000000" w:themeColor="text1"/>
          <w:sz w:val="24"/>
          <w:szCs w:val="24"/>
        </w:rPr>
        <w:t xml:space="preserve"> – </w:t>
      </w:r>
      <w:r w:rsidR="008F0181">
        <w:rPr>
          <w:rFonts w:ascii="Times New Roman" w:hAnsi="Times New Roman" w:cs="Times New Roman"/>
          <w:color w:val="000000" w:themeColor="text1"/>
          <w:sz w:val="24"/>
          <w:szCs w:val="24"/>
        </w:rPr>
        <w:t>Conclusão</w:t>
      </w:r>
      <w:bookmarkEnd w:id="12"/>
    </w:p>
    <w:p w14:paraId="2D9C41E4" w14:textId="0E5619B8" w:rsidR="004812ED" w:rsidRDefault="004812ED" w:rsidP="004812ED">
      <w:pPr>
        <w:spacing w:before="120" w:after="0" w:line="360" w:lineRule="auto"/>
        <w:ind w:firstLine="709"/>
        <w:jc w:val="both"/>
        <w:rPr>
          <w:rFonts w:ascii="Times New Roman" w:hAnsi="Times New Roman" w:cs="Times New Roman"/>
          <w:sz w:val="24"/>
          <w:szCs w:val="24"/>
        </w:rPr>
      </w:pPr>
      <w:r w:rsidRPr="004832CA">
        <w:rPr>
          <w:rFonts w:ascii="Times New Roman" w:hAnsi="Times New Roman" w:cs="Times New Roman"/>
          <w:sz w:val="24"/>
          <w:szCs w:val="24"/>
        </w:rPr>
        <w:t xml:space="preserve">O objetivo do estudo foi demonstrar o impacto da reclassificação dos instrumentos financeiros nas cinco maiores seguradoras do Brasil, onde demonstrou que o mercado segurador através de uma média ponderada de rentabilidade de 0,28%, porem se pode destacar que se pode ter individualmente rentabilidades positivas e negativas. </w:t>
      </w:r>
    </w:p>
    <w:p w14:paraId="602918CA" w14:textId="106D927F" w:rsidR="00047C96" w:rsidRDefault="00047C96" w:rsidP="00047C96">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tabela 10</w:t>
      </w:r>
      <w:r w:rsidRPr="004832CA">
        <w:rPr>
          <w:rFonts w:ascii="Times New Roman" w:hAnsi="Times New Roman" w:cs="Times New Roman"/>
          <w:sz w:val="24"/>
          <w:szCs w:val="24"/>
        </w:rPr>
        <w:t xml:space="preserve"> as contas anunciadas acima estão grifadas de amarelo para identificar o impacto causado na conta devido a reclassificação.</w:t>
      </w:r>
    </w:p>
    <w:p w14:paraId="25AF4416" w14:textId="77777777" w:rsidR="00052BB6" w:rsidRDefault="00052BB6" w:rsidP="004812ED">
      <w:pPr>
        <w:rPr>
          <w:rFonts w:ascii="Times New Roman" w:hAnsi="Times New Roman" w:cs="Times New Roman"/>
          <w:sz w:val="24"/>
          <w:szCs w:val="24"/>
        </w:rPr>
      </w:pPr>
    </w:p>
    <w:p w14:paraId="4FD3D363" w14:textId="77777777" w:rsidR="00052BB6" w:rsidRDefault="00052BB6" w:rsidP="004812ED">
      <w:pPr>
        <w:rPr>
          <w:rFonts w:ascii="Times New Roman" w:hAnsi="Times New Roman" w:cs="Times New Roman"/>
          <w:sz w:val="24"/>
          <w:szCs w:val="24"/>
        </w:rPr>
      </w:pPr>
    </w:p>
    <w:p w14:paraId="0C615D2D" w14:textId="77777777" w:rsidR="00052BB6" w:rsidRDefault="00052BB6" w:rsidP="004812ED">
      <w:pPr>
        <w:rPr>
          <w:rFonts w:ascii="Times New Roman" w:hAnsi="Times New Roman" w:cs="Times New Roman"/>
          <w:sz w:val="24"/>
          <w:szCs w:val="24"/>
        </w:rPr>
      </w:pPr>
    </w:p>
    <w:p w14:paraId="0E404385" w14:textId="77777777" w:rsidR="00052BB6" w:rsidRDefault="00052BB6" w:rsidP="004812ED">
      <w:pPr>
        <w:rPr>
          <w:rFonts w:ascii="Times New Roman" w:hAnsi="Times New Roman" w:cs="Times New Roman"/>
          <w:sz w:val="24"/>
          <w:szCs w:val="24"/>
        </w:rPr>
      </w:pPr>
    </w:p>
    <w:p w14:paraId="4F9E609D" w14:textId="1374D7C8" w:rsidR="00B557D5" w:rsidRDefault="00B557D5" w:rsidP="00B557D5">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Tabela 10</w:t>
      </w:r>
      <w:r>
        <w:rPr>
          <w:rFonts w:ascii="Times New Roman" w:hAnsi="Times New Roman" w:cs="Times New Roman"/>
          <w:sz w:val="24"/>
          <w:szCs w:val="24"/>
        </w:rPr>
        <w:tab/>
      </w:r>
    </w:p>
    <w:p w14:paraId="09ED540F" w14:textId="77777777" w:rsidR="00B557D5" w:rsidRPr="00E94581" w:rsidRDefault="00B557D5" w:rsidP="00B557D5">
      <w:pPr>
        <w:tabs>
          <w:tab w:val="left" w:pos="1440"/>
        </w:tabs>
        <w:spacing w:after="0" w:line="240" w:lineRule="auto"/>
        <w:jc w:val="both"/>
        <w:rPr>
          <w:rFonts w:ascii="Times New Roman" w:hAnsi="Times New Roman" w:cs="Times New Roman"/>
          <w:b/>
          <w:sz w:val="24"/>
          <w:szCs w:val="24"/>
        </w:rPr>
      </w:pPr>
      <w:r w:rsidRPr="00E94581">
        <w:rPr>
          <w:rFonts w:ascii="Times New Roman" w:hAnsi="Times New Roman" w:cs="Times New Roman"/>
          <w:b/>
          <w:sz w:val="24"/>
          <w:szCs w:val="24"/>
        </w:rPr>
        <w:t>Balanço Patrimonial Consolidado Bradesco Seguros em 31 de dezembro de 2015 – Publicado e Ajustado</w:t>
      </w:r>
    </w:p>
    <w:p w14:paraId="70BE81F0" w14:textId="77777777" w:rsidR="00B557D5" w:rsidRDefault="00B557D5" w:rsidP="00B557D5">
      <w:pPr>
        <w:spacing w:before="120" w:after="0" w:line="240" w:lineRule="auto"/>
        <w:jc w:val="both"/>
        <w:rPr>
          <w:rFonts w:ascii="Times New Roman" w:hAnsi="Times New Roman" w:cs="Times New Roman"/>
          <w:sz w:val="24"/>
          <w:szCs w:val="24"/>
        </w:rPr>
      </w:pPr>
      <w:r w:rsidRPr="00E94581">
        <w:rPr>
          <w:noProof/>
          <w:lang w:eastAsia="pt-BR"/>
        </w:rPr>
        <w:drawing>
          <wp:inline distT="0" distB="0" distL="0" distR="0" wp14:anchorId="578BC0C2" wp14:editId="276EB3F6">
            <wp:extent cx="5760085" cy="5864662"/>
            <wp:effectExtent l="0" t="0" r="0" b="3175"/>
            <wp:docPr id="896" name="Imagem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5864662"/>
                    </a:xfrm>
                    <a:prstGeom prst="rect">
                      <a:avLst/>
                    </a:prstGeom>
                    <a:noFill/>
                    <a:ln>
                      <a:noFill/>
                    </a:ln>
                  </pic:spPr>
                </pic:pic>
              </a:graphicData>
            </a:graphic>
          </wp:inline>
        </w:drawing>
      </w:r>
    </w:p>
    <w:p w14:paraId="5C7849C8" w14:textId="77777777" w:rsidR="00B557D5" w:rsidRDefault="00B557D5" w:rsidP="00D03D69">
      <w:pPr>
        <w:spacing w:before="120" w:after="0" w:line="360" w:lineRule="auto"/>
        <w:ind w:firstLine="709"/>
        <w:jc w:val="both"/>
        <w:rPr>
          <w:rFonts w:ascii="Times New Roman" w:hAnsi="Times New Roman" w:cs="Times New Roman"/>
          <w:sz w:val="24"/>
          <w:szCs w:val="24"/>
        </w:rPr>
      </w:pPr>
    </w:p>
    <w:p w14:paraId="53DF61A8" w14:textId="6D90862C" w:rsidR="00B63D9E" w:rsidRPr="00141C43" w:rsidRDefault="00B63D9E" w:rsidP="00D03D69">
      <w:pPr>
        <w:spacing w:before="120" w:after="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No estudo</w:t>
      </w:r>
      <w:r w:rsidR="00F654DF" w:rsidRPr="00141C43">
        <w:rPr>
          <w:rFonts w:ascii="Times New Roman" w:hAnsi="Times New Roman" w:cs="Times New Roman"/>
          <w:sz w:val="24"/>
          <w:szCs w:val="24"/>
        </w:rPr>
        <w:t>,</w:t>
      </w:r>
      <w:r w:rsidRPr="00141C43">
        <w:rPr>
          <w:rFonts w:ascii="Times New Roman" w:hAnsi="Times New Roman" w:cs="Times New Roman"/>
          <w:sz w:val="24"/>
          <w:szCs w:val="24"/>
        </w:rPr>
        <w:t xml:space="preserve"> verificou-se </w:t>
      </w:r>
      <w:r w:rsidR="00F654DF" w:rsidRPr="00141C43">
        <w:rPr>
          <w:rFonts w:ascii="Times New Roman" w:hAnsi="Times New Roman" w:cs="Times New Roman"/>
          <w:sz w:val="24"/>
          <w:szCs w:val="24"/>
        </w:rPr>
        <w:t>que somente</w:t>
      </w:r>
      <w:r w:rsidRPr="00141C43">
        <w:rPr>
          <w:rFonts w:ascii="Times New Roman" w:hAnsi="Times New Roman" w:cs="Times New Roman"/>
          <w:sz w:val="24"/>
          <w:szCs w:val="24"/>
        </w:rPr>
        <w:t xml:space="preserve"> </w:t>
      </w:r>
      <w:r w:rsidR="00F654DF" w:rsidRPr="00141C43">
        <w:rPr>
          <w:rFonts w:ascii="Times New Roman" w:hAnsi="Times New Roman" w:cs="Times New Roman"/>
          <w:sz w:val="24"/>
          <w:szCs w:val="24"/>
        </w:rPr>
        <w:t>cinco</w:t>
      </w:r>
      <w:r w:rsidRPr="00141C43">
        <w:rPr>
          <w:rFonts w:ascii="Times New Roman" w:hAnsi="Times New Roman" w:cs="Times New Roman"/>
          <w:sz w:val="24"/>
          <w:szCs w:val="24"/>
        </w:rPr>
        <w:t xml:space="preserve"> seguradoras </w:t>
      </w:r>
      <w:r w:rsidR="007C78B4" w:rsidRPr="00141C43">
        <w:rPr>
          <w:rFonts w:ascii="Times New Roman" w:hAnsi="Times New Roman" w:cs="Times New Roman"/>
          <w:sz w:val="24"/>
          <w:szCs w:val="24"/>
        </w:rPr>
        <w:t>tiveram</w:t>
      </w:r>
      <w:r w:rsidR="00F654DF" w:rsidRPr="00141C43">
        <w:rPr>
          <w:rFonts w:ascii="Times New Roman" w:hAnsi="Times New Roman" w:cs="Times New Roman"/>
          <w:sz w:val="24"/>
          <w:szCs w:val="24"/>
        </w:rPr>
        <w:t xml:space="preserve"> maior participação no mercado, tendo alcançado, juntas, m</w:t>
      </w:r>
      <w:r w:rsidRPr="00141C43">
        <w:rPr>
          <w:rFonts w:ascii="Times New Roman" w:hAnsi="Times New Roman" w:cs="Times New Roman"/>
          <w:sz w:val="24"/>
          <w:szCs w:val="24"/>
        </w:rPr>
        <w:t>ais de 50% do ramo de seguros no Brasil.</w:t>
      </w:r>
      <w:r w:rsidR="00A2797B" w:rsidRPr="00141C43">
        <w:rPr>
          <w:rFonts w:ascii="Times New Roman" w:hAnsi="Times New Roman" w:cs="Times New Roman"/>
          <w:sz w:val="24"/>
          <w:szCs w:val="24"/>
        </w:rPr>
        <w:t xml:space="preserve"> </w:t>
      </w:r>
      <w:r w:rsidR="00F654DF" w:rsidRPr="00141C43">
        <w:rPr>
          <w:rFonts w:ascii="Times New Roman" w:hAnsi="Times New Roman" w:cs="Times New Roman"/>
          <w:sz w:val="24"/>
          <w:szCs w:val="24"/>
        </w:rPr>
        <w:t>Cada uma apresentou</w:t>
      </w:r>
      <w:r w:rsidR="00A2797B" w:rsidRPr="00141C43">
        <w:rPr>
          <w:rFonts w:ascii="Times New Roman" w:hAnsi="Times New Roman" w:cs="Times New Roman"/>
          <w:sz w:val="24"/>
          <w:szCs w:val="24"/>
        </w:rPr>
        <w:t xml:space="preserve"> diferentes situações, algumas obtendo rentabilidade positiva</w:t>
      </w:r>
      <w:r w:rsidR="00F654DF" w:rsidRPr="00141C43">
        <w:rPr>
          <w:rFonts w:ascii="Times New Roman" w:hAnsi="Times New Roman" w:cs="Times New Roman"/>
          <w:sz w:val="24"/>
          <w:szCs w:val="24"/>
        </w:rPr>
        <w:t>,</w:t>
      </w:r>
      <w:r w:rsidR="00A2797B" w:rsidRPr="00141C43">
        <w:rPr>
          <w:rFonts w:ascii="Times New Roman" w:hAnsi="Times New Roman" w:cs="Times New Roman"/>
          <w:sz w:val="24"/>
          <w:szCs w:val="24"/>
        </w:rPr>
        <w:t xml:space="preserve"> outras</w:t>
      </w:r>
      <w:r w:rsidR="00F654DF" w:rsidRPr="00141C43">
        <w:rPr>
          <w:rFonts w:ascii="Times New Roman" w:hAnsi="Times New Roman" w:cs="Times New Roman"/>
          <w:sz w:val="24"/>
          <w:szCs w:val="24"/>
        </w:rPr>
        <w:t>,</w:t>
      </w:r>
      <w:r w:rsidR="00A2797B" w:rsidRPr="00141C43">
        <w:rPr>
          <w:rFonts w:ascii="Times New Roman" w:hAnsi="Times New Roman" w:cs="Times New Roman"/>
          <w:sz w:val="24"/>
          <w:szCs w:val="24"/>
        </w:rPr>
        <w:t xml:space="preserve"> negativas</w:t>
      </w:r>
      <w:r w:rsidR="00F654DF" w:rsidRPr="00141C43">
        <w:rPr>
          <w:rFonts w:ascii="Times New Roman" w:hAnsi="Times New Roman" w:cs="Times New Roman"/>
          <w:sz w:val="24"/>
          <w:szCs w:val="24"/>
        </w:rPr>
        <w:t>. Assim, foram mostrados o</w:t>
      </w:r>
      <w:r w:rsidR="00A2797B" w:rsidRPr="00141C43">
        <w:rPr>
          <w:rFonts w:ascii="Times New Roman" w:hAnsi="Times New Roman" w:cs="Times New Roman"/>
          <w:sz w:val="24"/>
          <w:szCs w:val="24"/>
        </w:rPr>
        <w:t>s diferentes gerenciamentos de riscos com seus instrumentos financeiros.</w:t>
      </w:r>
    </w:p>
    <w:p w14:paraId="3BB24C7D" w14:textId="2B6A89E9" w:rsidR="00A2797B" w:rsidRDefault="00A2797B" w:rsidP="00D03D69">
      <w:pPr>
        <w:spacing w:before="120" w:after="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lastRenderedPageBreak/>
        <w:t>As</w:t>
      </w:r>
      <w:r w:rsidR="00602559">
        <w:rPr>
          <w:rFonts w:ascii="Times New Roman" w:hAnsi="Times New Roman" w:cs="Times New Roman"/>
          <w:sz w:val="24"/>
          <w:szCs w:val="24"/>
        </w:rPr>
        <w:t xml:space="preserve"> cinco maiores</w:t>
      </w:r>
      <w:r w:rsidRPr="00141C43">
        <w:rPr>
          <w:rFonts w:ascii="Times New Roman" w:hAnsi="Times New Roman" w:cs="Times New Roman"/>
          <w:sz w:val="24"/>
          <w:szCs w:val="24"/>
        </w:rPr>
        <w:t xml:space="preserve"> seguradoras </w:t>
      </w:r>
      <w:r w:rsidR="00CC3A96" w:rsidRPr="00141C43">
        <w:rPr>
          <w:rFonts w:ascii="Times New Roman" w:hAnsi="Times New Roman" w:cs="Times New Roman"/>
          <w:sz w:val="24"/>
          <w:szCs w:val="24"/>
        </w:rPr>
        <w:t xml:space="preserve">também foram </w:t>
      </w:r>
      <w:r w:rsidRPr="00141C43">
        <w:rPr>
          <w:rFonts w:ascii="Times New Roman" w:hAnsi="Times New Roman" w:cs="Times New Roman"/>
          <w:sz w:val="24"/>
          <w:szCs w:val="24"/>
        </w:rPr>
        <w:t>apresentadas na segunda etapa</w:t>
      </w:r>
      <w:r w:rsidR="00CC3A96" w:rsidRPr="00141C43">
        <w:rPr>
          <w:rFonts w:ascii="Times New Roman" w:hAnsi="Times New Roman" w:cs="Times New Roman"/>
          <w:sz w:val="24"/>
          <w:szCs w:val="24"/>
        </w:rPr>
        <w:t>,</w:t>
      </w:r>
      <w:r w:rsidRPr="00141C43">
        <w:rPr>
          <w:rFonts w:ascii="Times New Roman" w:hAnsi="Times New Roman" w:cs="Times New Roman"/>
          <w:sz w:val="24"/>
          <w:szCs w:val="24"/>
        </w:rPr>
        <w:t xml:space="preserve"> quando foi estimado o diferente efeito da demonstração contábil para os instrumentos financeiro</w:t>
      </w:r>
      <w:r w:rsidR="004E3DA8" w:rsidRPr="00141C43">
        <w:rPr>
          <w:rFonts w:ascii="Times New Roman" w:hAnsi="Times New Roman" w:cs="Times New Roman"/>
          <w:sz w:val="24"/>
          <w:szCs w:val="24"/>
        </w:rPr>
        <w:t>s</w:t>
      </w:r>
      <w:r w:rsidRPr="00141C43">
        <w:rPr>
          <w:rFonts w:ascii="Times New Roman" w:hAnsi="Times New Roman" w:cs="Times New Roman"/>
          <w:sz w:val="24"/>
          <w:szCs w:val="24"/>
        </w:rPr>
        <w:t xml:space="preserve"> utilizando a IAS39 e a IFRS9, para</w:t>
      </w:r>
      <w:r w:rsidR="00F654DF" w:rsidRPr="00141C43">
        <w:rPr>
          <w:rFonts w:ascii="Times New Roman" w:hAnsi="Times New Roman" w:cs="Times New Roman"/>
          <w:sz w:val="24"/>
          <w:szCs w:val="24"/>
        </w:rPr>
        <w:t>,</w:t>
      </w:r>
      <w:r w:rsidRPr="00141C43">
        <w:rPr>
          <w:rFonts w:ascii="Times New Roman" w:hAnsi="Times New Roman" w:cs="Times New Roman"/>
          <w:sz w:val="24"/>
          <w:szCs w:val="24"/>
        </w:rPr>
        <w:t xml:space="preserve"> de forma estimada</w:t>
      </w:r>
      <w:r w:rsidR="00F654DF" w:rsidRPr="00141C43">
        <w:rPr>
          <w:rFonts w:ascii="Times New Roman" w:hAnsi="Times New Roman" w:cs="Times New Roman"/>
          <w:sz w:val="24"/>
          <w:szCs w:val="24"/>
        </w:rPr>
        <w:t>,</w:t>
      </w:r>
      <w:r w:rsidRPr="00141C43">
        <w:rPr>
          <w:rFonts w:ascii="Times New Roman" w:hAnsi="Times New Roman" w:cs="Times New Roman"/>
          <w:sz w:val="24"/>
          <w:szCs w:val="24"/>
        </w:rPr>
        <w:t xml:space="preserve"> dar clareza sobre o que pode acontecer </w:t>
      </w:r>
      <w:r w:rsidR="00F654DF" w:rsidRPr="00141C43">
        <w:rPr>
          <w:rFonts w:ascii="Times New Roman" w:hAnsi="Times New Roman" w:cs="Times New Roman"/>
          <w:sz w:val="24"/>
          <w:szCs w:val="24"/>
        </w:rPr>
        <w:t>quanto a</w:t>
      </w:r>
      <w:r w:rsidRPr="00141C43">
        <w:rPr>
          <w:rFonts w:ascii="Times New Roman" w:hAnsi="Times New Roman" w:cs="Times New Roman"/>
          <w:sz w:val="24"/>
          <w:szCs w:val="24"/>
        </w:rPr>
        <w:t xml:space="preserve">o tratamento dos </w:t>
      </w:r>
      <w:r w:rsidR="000B7B4B" w:rsidRPr="00141C43">
        <w:rPr>
          <w:rFonts w:ascii="Times New Roman" w:hAnsi="Times New Roman" w:cs="Times New Roman"/>
          <w:sz w:val="24"/>
          <w:szCs w:val="24"/>
        </w:rPr>
        <w:t>instrumentos financeiros</w:t>
      </w:r>
      <w:r w:rsidR="00F654DF" w:rsidRPr="00141C43">
        <w:rPr>
          <w:rFonts w:ascii="Times New Roman" w:hAnsi="Times New Roman" w:cs="Times New Roman"/>
          <w:sz w:val="24"/>
          <w:szCs w:val="24"/>
        </w:rPr>
        <w:t>;</w:t>
      </w:r>
      <w:r w:rsidR="000B7B4B" w:rsidRPr="00141C43">
        <w:rPr>
          <w:rFonts w:ascii="Times New Roman" w:hAnsi="Times New Roman" w:cs="Times New Roman"/>
          <w:sz w:val="24"/>
          <w:szCs w:val="24"/>
        </w:rPr>
        <w:t xml:space="preserve"> e de certa forma</w:t>
      </w:r>
      <w:r w:rsidR="00F654DF" w:rsidRPr="00141C43">
        <w:rPr>
          <w:rFonts w:ascii="Times New Roman" w:hAnsi="Times New Roman" w:cs="Times New Roman"/>
          <w:sz w:val="24"/>
          <w:szCs w:val="24"/>
        </w:rPr>
        <w:t>,</w:t>
      </w:r>
      <w:r w:rsidR="000B7B4B" w:rsidRPr="00141C43">
        <w:rPr>
          <w:rFonts w:ascii="Times New Roman" w:hAnsi="Times New Roman" w:cs="Times New Roman"/>
          <w:sz w:val="24"/>
          <w:szCs w:val="24"/>
        </w:rPr>
        <w:t xml:space="preserve"> trazer o fator da comparabilidade entre as contas de aplicações financeiras.</w:t>
      </w:r>
    </w:p>
    <w:p w14:paraId="515CAA10" w14:textId="4FB0D25E" w:rsidR="000010AC" w:rsidRPr="00141C43" w:rsidRDefault="00C9124C" w:rsidP="00D03D69">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w:t>
      </w:r>
      <w:r w:rsidR="00137B4B">
        <w:rPr>
          <w:rFonts w:ascii="Times New Roman" w:hAnsi="Times New Roman" w:cs="Times New Roman"/>
          <w:sz w:val="24"/>
          <w:szCs w:val="24"/>
        </w:rPr>
        <w:t>cálculo</w:t>
      </w:r>
      <w:r>
        <w:rPr>
          <w:rFonts w:ascii="Times New Roman" w:hAnsi="Times New Roman" w:cs="Times New Roman"/>
          <w:sz w:val="24"/>
          <w:szCs w:val="24"/>
        </w:rPr>
        <w:t xml:space="preserve"> da estimativa nas duas normas deu para verificar o aumento bem relevante quanto ao custo amortizado e o ajuste de </w:t>
      </w:r>
      <w:proofErr w:type="spellStart"/>
      <w:r>
        <w:rPr>
          <w:rFonts w:ascii="Times New Roman" w:hAnsi="Times New Roman" w:cs="Times New Roman"/>
          <w:sz w:val="24"/>
          <w:szCs w:val="24"/>
        </w:rPr>
        <w:t>MtM</w:t>
      </w:r>
      <w:proofErr w:type="spellEnd"/>
      <w:r>
        <w:rPr>
          <w:rFonts w:ascii="Times New Roman" w:hAnsi="Times New Roman" w:cs="Times New Roman"/>
          <w:sz w:val="24"/>
          <w:szCs w:val="24"/>
        </w:rPr>
        <w:t xml:space="preserve">, junto ao mesmo verificou-se o impacto da mudança da norma e deu para verificar a diferença relevante entre a demonstração através da norma do IAS39 e a demonstração através do IFRS9, aonde o mercado </w:t>
      </w:r>
      <w:r w:rsidR="00AE3754">
        <w:rPr>
          <w:rFonts w:ascii="Times New Roman" w:hAnsi="Times New Roman" w:cs="Times New Roman"/>
          <w:sz w:val="24"/>
          <w:szCs w:val="24"/>
        </w:rPr>
        <w:t>tem uma demonstração de 5,18% maior que a apresentada pelo IAS39.</w:t>
      </w:r>
    </w:p>
    <w:p w14:paraId="422D24D0" w14:textId="549D4C9E" w:rsidR="008A536D" w:rsidRPr="00141C43" w:rsidRDefault="00CC3A96" w:rsidP="008A536D">
      <w:pPr>
        <w:spacing w:before="120" w:after="0" w:line="360" w:lineRule="auto"/>
        <w:ind w:firstLine="709"/>
        <w:jc w:val="both"/>
        <w:rPr>
          <w:rFonts w:ascii="Times New Roman" w:hAnsi="Times New Roman" w:cs="Times New Roman"/>
          <w:sz w:val="24"/>
          <w:szCs w:val="24"/>
        </w:rPr>
      </w:pPr>
      <w:r w:rsidRPr="00141C43">
        <w:rPr>
          <w:rFonts w:ascii="Times New Roman" w:hAnsi="Times New Roman" w:cs="Times New Roman"/>
          <w:sz w:val="24"/>
          <w:szCs w:val="24"/>
        </w:rPr>
        <w:t xml:space="preserve">A Susep tem feito estudos para </w:t>
      </w:r>
      <w:r w:rsidR="00B63D9E" w:rsidRPr="00141C43">
        <w:rPr>
          <w:rFonts w:ascii="Times New Roman" w:hAnsi="Times New Roman" w:cs="Times New Roman"/>
          <w:sz w:val="24"/>
          <w:szCs w:val="24"/>
        </w:rPr>
        <w:t xml:space="preserve">conseguir </w:t>
      </w:r>
      <w:r w:rsidR="000B7B4B" w:rsidRPr="00141C43">
        <w:rPr>
          <w:rFonts w:ascii="Times New Roman" w:hAnsi="Times New Roman" w:cs="Times New Roman"/>
          <w:sz w:val="24"/>
          <w:szCs w:val="24"/>
        </w:rPr>
        <w:t xml:space="preserve">se harmonizar com a base do IFRS e </w:t>
      </w:r>
      <w:r w:rsidR="00B63D9E" w:rsidRPr="00141C43">
        <w:rPr>
          <w:rFonts w:ascii="Times New Roman" w:hAnsi="Times New Roman" w:cs="Times New Roman"/>
          <w:sz w:val="24"/>
          <w:szCs w:val="24"/>
        </w:rPr>
        <w:t xml:space="preserve">do </w:t>
      </w:r>
      <w:r w:rsidR="000B7B4B" w:rsidRPr="00141C43">
        <w:rPr>
          <w:rFonts w:ascii="Times New Roman" w:hAnsi="Times New Roman" w:cs="Times New Roman"/>
          <w:sz w:val="24"/>
          <w:szCs w:val="24"/>
        </w:rPr>
        <w:t>CPC</w:t>
      </w:r>
      <w:r w:rsidRPr="00141C43">
        <w:rPr>
          <w:rFonts w:ascii="Times New Roman" w:hAnsi="Times New Roman" w:cs="Times New Roman"/>
          <w:sz w:val="24"/>
          <w:szCs w:val="24"/>
        </w:rPr>
        <w:t xml:space="preserve">. E apesar de esse </w:t>
      </w:r>
      <w:r w:rsidR="000B7B4B" w:rsidRPr="00141C43">
        <w:rPr>
          <w:rFonts w:ascii="Times New Roman" w:hAnsi="Times New Roman" w:cs="Times New Roman"/>
          <w:sz w:val="24"/>
          <w:szCs w:val="24"/>
        </w:rPr>
        <w:t xml:space="preserve">ainda não ter publicado alteração </w:t>
      </w:r>
      <w:r w:rsidRPr="00141C43">
        <w:rPr>
          <w:rFonts w:ascii="Times New Roman" w:hAnsi="Times New Roman" w:cs="Times New Roman"/>
          <w:sz w:val="24"/>
          <w:szCs w:val="24"/>
        </w:rPr>
        <w:t>n</w:t>
      </w:r>
      <w:r w:rsidR="000B7B4B" w:rsidRPr="00141C43">
        <w:rPr>
          <w:rFonts w:ascii="Times New Roman" w:hAnsi="Times New Roman" w:cs="Times New Roman"/>
          <w:sz w:val="24"/>
          <w:szCs w:val="24"/>
        </w:rPr>
        <w:t>o CPC38</w:t>
      </w:r>
      <w:r w:rsidRPr="00141C43">
        <w:rPr>
          <w:rFonts w:ascii="Times New Roman" w:hAnsi="Times New Roman" w:cs="Times New Roman"/>
          <w:sz w:val="24"/>
          <w:szCs w:val="24"/>
        </w:rPr>
        <w:t>,</w:t>
      </w:r>
      <w:r w:rsidR="000B7B4B" w:rsidRPr="00141C43">
        <w:rPr>
          <w:rFonts w:ascii="Times New Roman" w:hAnsi="Times New Roman" w:cs="Times New Roman"/>
          <w:sz w:val="24"/>
          <w:szCs w:val="24"/>
        </w:rPr>
        <w:t xml:space="preserve"> a Susep</w:t>
      </w:r>
      <w:r w:rsidRPr="00141C43">
        <w:rPr>
          <w:rFonts w:ascii="Times New Roman" w:hAnsi="Times New Roman" w:cs="Times New Roman"/>
          <w:sz w:val="24"/>
          <w:szCs w:val="24"/>
        </w:rPr>
        <w:t xml:space="preserve"> precisará se</w:t>
      </w:r>
      <w:r w:rsidR="000B7B4B" w:rsidRPr="00141C43">
        <w:rPr>
          <w:rFonts w:ascii="Times New Roman" w:hAnsi="Times New Roman" w:cs="Times New Roman"/>
          <w:sz w:val="24"/>
          <w:szCs w:val="24"/>
        </w:rPr>
        <w:t xml:space="preserve"> adaptar</w:t>
      </w:r>
      <w:r w:rsidR="00B63D9E" w:rsidRPr="00141C43">
        <w:rPr>
          <w:rFonts w:ascii="Times New Roman" w:hAnsi="Times New Roman" w:cs="Times New Roman"/>
          <w:sz w:val="24"/>
          <w:szCs w:val="24"/>
        </w:rPr>
        <w:t xml:space="preserve"> </w:t>
      </w:r>
      <w:r w:rsidRPr="00141C43">
        <w:rPr>
          <w:rFonts w:ascii="Times New Roman" w:hAnsi="Times New Roman" w:cs="Times New Roman"/>
          <w:sz w:val="24"/>
          <w:szCs w:val="24"/>
        </w:rPr>
        <w:t>n</w:t>
      </w:r>
      <w:r w:rsidR="00B63D9E" w:rsidRPr="00141C43">
        <w:rPr>
          <w:rFonts w:ascii="Times New Roman" w:hAnsi="Times New Roman" w:cs="Times New Roman"/>
          <w:sz w:val="24"/>
          <w:szCs w:val="24"/>
        </w:rPr>
        <w:t>o ramo de seguros</w:t>
      </w:r>
      <w:r w:rsidR="008A536D" w:rsidRPr="00141C43">
        <w:rPr>
          <w:rFonts w:ascii="Times New Roman" w:hAnsi="Times New Roman" w:cs="Times New Roman"/>
          <w:sz w:val="24"/>
          <w:szCs w:val="24"/>
        </w:rPr>
        <w:t xml:space="preserve">. </w:t>
      </w:r>
      <w:r w:rsidR="00850AE3" w:rsidRPr="00141C43">
        <w:rPr>
          <w:rFonts w:ascii="Times New Roman" w:hAnsi="Times New Roman" w:cs="Times New Roman"/>
          <w:sz w:val="24"/>
          <w:szCs w:val="24"/>
        </w:rPr>
        <w:t>Como já ressaltado pel</w:t>
      </w:r>
      <w:r w:rsidR="008A536D" w:rsidRPr="00141C43">
        <w:rPr>
          <w:rFonts w:ascii="Times New Roman" w:hAnsi="Times New Roman" w:cs="Times New Roman"/>
          <w:sz w:val="24"/>
          <w:szCs w:val="24"/>
        </w:rPr>
        <w:t>a Susep</w:t>
      </w:r>
      <w:r w:rsidR="00850AE3" w:rsidRPr="00141C43">
        <w:rPr>
          <w:rFonts w:ascii="Times New Roman" w:hAnsi="Times New Roman" w:cs="Times New Roman"/>
          <w:sz w:val="24"/>
          <w:szCs w:val="24"/>
        </w:rPr>
        <w:t>,</w:t>
      </w:r>
      <w:r w:rsidR="008A536D" w:rsidRPr="00141C43">
        <w:rPr>
          <w:rFonts w:ascii="Times New Roman" w:hAnsi="Times New Roman" w:cs="Times New Roman"/>
          <w:sz w:val="24"/>
          <w:szCs w:val="24"/>
        </w:rPr>
        <w:t xml:space="preserve"> existe uma análise sobre os riscos </w:t>
      </w:r>
      <w:r w:rsidR="007F72DD" w:rsidRPr="00141C43">
        <w:rPr>
          <w:rFonts w:ascii="Times New Roman" w:hAnsi="Times New Roman" w:cs="Times New Roman"/>
          <w:sz w:val="24"/>
          <w:szCs w:val="24"/>
        </w:rPr>
        <w:t>d</w:t>
      </w:r>
      <w:r w:rsidR="008A536D" w:rsidRPr="00141C43">
        <w:rPr>
          <w:rFonts w:ascii="Times New Roman" w:hAnsi="Times New Roman" w:cs="Times New Roman"/>
          <w:sz w:val="24"/>
          <w:szCs w:val="24"/>
        </w:rPr>
        <w:t xml:space="preserve">a seguradora e </w:t>
      </w:r>
      <w:r w:rsidR="00850AE3" w:rsidRPr="00141C43">
        <w:rPr>
          <w:rFonts w:ascii="Times New Roman" w:hAnsi="Times New Roman" w:cs="Times New Roman"/>
          <w:sz w:val="24"/>
          <w:szCs w:val="24"/>
        </w:rPr>
        <w:t xml:space="preserve">a </w:t>
      </w:r>
      <w:r w:rsidR="008A536D" w:rsidRPr="00141C43">
        <w:rPr>
          <w:rFonts w:ascii="Times New Roman" w:hAnsi="Times New Roman" w:cs="Times New Roman"/>
          <w:sz w:val="24"/>
          <w:szCs w:val="24"/>
        </w:rPr>
        <w:t>verificação sobre a solvência para cumpri</w:t>
      </w:r>
      <w:r w:rsidR="00850AE3" w:rsidRPr="00141C43">
        <w:rPr>
          <w:rFonts w:ascii="Times New Roman" w:hAnsi="Times New Roman" w:cs="Times New Roman"/>
          <w:sz w:val="24"/>
          <w:szCs w:val="24"/>
        </w:rPr>
        <w:t>r</w:t>
      </w:r>
      <w:r w:rsidR="008A536D" w:rsidRPr="00141C43">
        <w:rPr>
          <w:rFonts w:ascii="Times New Roman" w:hAnsi="Times New Roman" w:cs="Times New Roman"/>
          <w:sz w:val="24"/>
          <w:szCs w:val="24"/>
        </w:rPr>
        <w:t xml:space="preserve"> suas obrigações.</w:t>
      </w:r>
    </w:p>
    <w:p w14:paraId="64122599" w14:textId="1B7FCC26" w:rsidR="00016F57" w:rsidRDefault="00016F57" w:rsidP="00016F57">
      <w:pPr>
        <w:spacing w:before="120" w:after="0" w:line="360" w:lineRule="auto"/>
        <w:ind w:firstLine="709"/>
        <w:jc w:val="both"/>
        <w:rPr>
          <w:rFonts w:ascii="Times New Roman" w:hAnsi="Times New Roman" w:cs="Times New Roman"/>
          <w:sz w:val="24"/>
          <w:szCs w:val="24"/>
        </w:rPr>
      </w:pPr>
      <w:r w:rsidRPr="004832CA">
        <w:rPr>
          <w:rFonts w:ascii="Times New Roman" w:hAnsi="Times New Roman" w:cs="Times New Roman"/>
          <w:sz w:val="24"/>
          <w:szCs w:val="24"/>
        </w:rPr>
        <w:t>Os grupos de contas que sofrerão impacto com a reclassificação são a de “Ajuste de aplicação financeira” (Ativo) e a conta de “Ajustes de avaliação patrimonial” (Patrimônio Líquido), que será demonstrado na tabela 15 com o balanço patrimonial consolidado publicado pela Bradesco Seguros. Apesar de a obrigatoriedade estar prevista somente para 01 de janeiro de 2018, muitas instituições financeiras, seguradoras ou até mesmo companhias de capital aberto, com investimento no exterior, já estão se preparando para se adequar às normas, como visto na nota explicativa 2.2 do Banco Itaú (2015).</w:t>
      </w:r>
      <w:r>
        <w:rPr>
          <w:rFonts w:ascii="Times New Roman" w:hAnsi="Times New Roman" w:cs="Times New Roman"/>
          <w:sz w:val="24"/>
          <w:szCs w:val="24"/>
        </w:rPr>
        <w:t xml:space="preserve"> </w:t>
      </w:r>
    </w:p>
    <w:p w14:paraId="0057A36C" w14:textId="312F9FFF" w:rsidR="00807323" w:rsidRPr="00141C43" w:rsidRDefault="00BF2F6C" w:rsidP="00D55EBA">
      <w:pPr>
        <w:pStyle w:val="Ttulo1"/>
        <w:spacing w:before="240" w:after="240" w:line="240" w:lineRule="auto"/>
        <w:jc w:val="both"/>
        <w:rPr>
          <w:rFonts w:ascii="Times New Roman" w:hAnsi="Times New Roman" w:cs="Times New Roman"/>
          <w:color w:val="000000" w:themeColor="text1"/>
          <w:sz w:val="24"/>
          <w:szCs w:val="24"/>
        </w:rPr>
      </w:pPr>
      <w:bookmarkStart w:id="13" w:name="_Toc469928724"/>
      <w:r>
        <w:rPr>
          <w:rFonts w:ascii="Times New Roman" w:hAnsi="Times New Roman" w:cs="Times New Roman"/>
          <w:color w:val="000000" w:themeColor="text1"/>
          <w:sz w:val="24"/>
          <w:szCs w:val="24"/>
        </w:rPr>
        <w:t>Referência</w:t>
      </w:r>
      <w:bookmarkEnd w:id="13"/>
    </w:p>
    <w:p w14:paraId="00C6F4C8" w14:textId="77777777" w:rsidR="00BE607B" w:rsidRPr="00141C43" w:rsidRDefault="00BE607B" w:rsidP="00BE607B">
      <w:pPr>
        <w:spacing w:after="240" w:line="240" w:lineRule="auto"/>
        <w:ind w:left="426" w:hanging="426"/>
        <w:jc w:val="both"/>
        <w:rPr>
          <w:rFonts w:ascii="Times New Roman" w:hAnsi="Times New Roman" w:cs="Times New Roman"/>
          <w:sz w:val="24"/>
          <w:szCs w:val="24"/>
          <w:lang w:val="en-US"/>
        </w:rPr>
      </w:pPr>
      <w:proofErr w:type="spellStart"/>
      <w:r w:rsidRPr="00141C43">
        <w:rPr>
          <w:rFonts w:ascii="Times New Roman" w:hAnsi="Times New Roman" w:cs="Times New Roman"/>
          <w:color w:val="222222"/>
          <w:sz w:val="24"/>
          <w:szCs w:val="24"/>
          <w:shd w:val="clear" w:color="auto" w:fill="FFFFFF"/>
          <w:lang w:val="en-US"/>
        </w:rPr>
        <w:t>Bischof</w:t>
      </w:r>
      <w:proofErr w:type="spellEnd"/>
      <w:r w:rsidRPr="00141C43">
        <w:rPr>
          <w:rFonts w:ascii="Times New Roman" w:hAnsi="Times New Roman" w:cs="Times New Roman"/>
          <w:color w:val="222222"/>
          <w:sz w:val="24"/>
          <w:szCs w:val="24"/>
          <w:shd w:val="clear" w:color="auto" w:fill="FFFFFF"/>
          <w:lang w:val="en-US"/>
        </w:rPr>
        <w:t>, J., &amp; Ebert, M. (2009). IFRS 7 Disclosures and Risk Perception of Financial Instruments.</w:t>
      </w:r>
      <w:r w:rsidRPr="00141C43">
        <w:rPr>
          <w:rStyle w:val="apple-converted-space"/>
          <w:rFonts w:ascii="Times New Roman" w:hAnsi="Times New Roman" w:cs="Times New Roman"/>
          <w:color w:val="222222"/>
          <w:sz w:val="24"/>
          <w:szCs w:val="24"/>
          <w:shd w:val="clear" w:color="auto" w:fill="FFFFFF"/>
          <w:lang w:val="en-US"/>
        </w:rPr>
        <w:t> </w:t>
      </w:r>
      <w:r w:rsidRPr="004B54B2">
        <w:rPr>
          <w:rFonts w:ascii="Times New Roman" w:hAnsi="Times New Roman" w:cs="Times New Roman"/>
          <w:i/>
          <w:iCs/>
          <w:color w:val="222222"/>
          <w:sz w:val="24"/>
          <w:szCs w:val="24"/>
          <w:shd w:val="clear" w:color="auto" w:fill="FFFFFF"/>
          <w:lang w:val="en-US"/>
        </w:rPr>
        <w:t>Forthcoming in:</w:t>
      </w:r>
      <w:r w:rsidRPr="00141C43">
        <w:rPr>
          <w:rFonts w:ascii="Times New Roman" w:hAnsi="Times New Roman" w:cs="Times New Roman"/>
          <w:iCs/>
          <w:color w:val="222222"/>
          <w:sz w:val="24"/>
          <w:szCs w:val="24"/>
          <w:shd w:val="clear" w:color="auto" w:fill="FFFFFF"/>
          <w:lang w:val="en-US"/>
        </w:rPr>
        <w:t xml:space="preserve"> </w:t>
      </w:r>
      <w:proofErr w:type="spellStart"/>
      <w:r w:rsidRPr="0026795D">
        <w:rPr>
          <w:rFonts w:ascii="Times New Roman" w:hAnsi="Times New Roman" w:cs="Times New Roman"/>
          <w:i/>
          <w:iCs/>
          <w:color w:val="222222"/>
          <w:sz w:val="24"/>
          <w:szCs w:val="24"/>
          <w:shd w:val="clear" w:color="auto" w:fill="FFFFFF"/>
          <w:lang w:val="en-US"/>
        </w:rPr>
        <w:t>Schmalenbach</w:t>
      </w:r>
      <w:proofErr w:type="spellEnd"/>
      <w:r w:rsidRPr="0026795D">
        <w:rPr>
          <w:rFonts w:ascii="Times New Roman" w:hAnsi="Times New Roman" w:cs="Times New Roman"/>
          <w:i/>
          <w:iCs/>
          <w:color w:val="222222"/>
          <w:sz w:val="24"/>
          <w:szCs w:val="24"/>
          <w:shd w:val="clear" w:color="auto" w:fill="FFFFFF"/>
          <w:lang w:val="en-US"/>
        </w:rPr>
        <w:t xml:space="preserve"> Business Review</w:t>
      </w:r>
      <w:r w:rsidRPr="00141C43">
        <w:rPr>
          <w:rFonts w:ascii="Times New Roman" w:hAnsi="Times New Roman" w:cs="Times New Roman"/>
          <w:iCs/>
          <w:color w:val="222222"/>
          <w:sz w:val="24"/>
          <w:szCs w:val="24"/>
          <w:shd w:val="clear" w:color="auto" w:fill="FFFFFF"/>
          <w:lang w:val="en-US"/>
        </w:rPr>
        <w:t xml:space="preserve"> (</w:t>
      </w:r>
      <w:proofErr w:type="spellStart"/>
      <w:r w:rsidRPr="00141C43">
        <w:rPr>
          <w:rFonts w:ascii="Times New Roman" w:hAnsi="Times New Roman" w:cs="Times New Roman"/>
          <w:iCs/>
          <w:color w:val="222222"/>
          <w:sz w:val="24"/>
          <w:szCs w:val="24"/>
          <w:shd w:val="clear" w:color="auto" w:fill="FFFFFF"/>
          <w:lang w:val="en-US"/>
        </w:rPr>
        <w:t>sbr</w:t>
      </w:r>
      <w:proofErr w:type="spellEnd"/>
      <w:r w:rsidRPr="00141C43">
        <w:rPr>
          <w:rFonts w:ascii="Times New Roman" w:hAnsi="Times New Roman" w:cs="Times New Roman"/>
          <w:iCs/>
          <w:color w:val="222222"/>
          <w:sz w:val="24"/>
          <w:szCs w:val="24"/>
          <w:shd w:val="clear" w:color="auto" w:fill="FFFFFF"/>
          <w:lang w:val="en-US"/>
        </w:rPr>
        <w:t>)</w:t>
      </w:r>
      <w:r w:rsidRPr="00141C43">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lang w:val="en-US"/>
        </w:rPr>
        <w:t xml:space="preserve"> </w:t>
      </w:r>
      <w:proofErr w:type="spellStart"/>
      <w:r>
        <w:rPr>
          <w:rFonts w:ascii="Times New Roman" w:hAnsi="Times New Roman" w:cs="Times New Roman"/>
          <w:color w:val="222222"/>
          <w:sz w:val="24"/>
          <w:szCs w:val="24"/>
          <w:shd w:val="clear" w:color="auto" w:fill="FFFFFF"/>
          <w:lang w:val="en-US"/>
        </w:rPr>
        <w:t>Recuperado</w:t>
      </w:r>
      <w:proofErr w:type="spellEnd"/>
      <w:r>
        <w:rPr>
          <w:rFonts w:ascii="Times New Roman" w:hAnsi="Times New Roman" w:cs="Times New Roman"/>
          <w:color w:val="222222"/>
          <w:sz w:val="24"/>
          <w:szCs w:val="24"/>
          <w:shd w:val="clear" w:color="auto" w:fill="FFFFFF"/>
          <w:lang w:val="en-US"/>
        </w:rPr>
        <w:t xml:space="preserve"> de </w:t>
      </w:r>
      <w:r w:rsidRPr="004B54B2">
        <w:rPr>
          <w:rFonts w:ascii="Times New Roman" w:hAnsi="Times New Roman" w:cs="Times New Roman"/>
          <w:color w:val="222222"/>
          <w:sz w:val="24"/>
          <w:szCs w:val="24"/>
          <w:shd w:val="clear" w:color="auto" w:fill="FFFFFF"/>
          <w:lang w:val="en-US"/>
        </w:rPr>
        <w:t>https://papers.ssrn.com/sol3/papers2.cfm?abstract_id=1506966</w:t>
      </w:r>
    </w:p>
    <w:p w14:paraId="092DDCD0" w14:textId="3112F9E3" w:rsidR="00016F57" w:rsidRPr="00137B4B" w:rsidRDefault="00016F57" w:rsidP="00D55EBA">
      <w:pPr>
        <w:spacing w:after="240" w:line="240" w:lineRule="auto"/>
        <w:ind w:left="426" w:hanging="425"/>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Banco Itaú S.A.,</w:t>
      </w:r>
      <w:r w:rsidR="00830EC5">
        <w:rPr>
          <w:rFonts w:ascii="Times New Roman" w:hAnsi="Times New Roman" w:cs="Times New Roman"/>
          <w:color w:val="222222"/>
          <w:sz w:val="24"/>
          <w:szCs w:val="24"/>
          <w:shd w:val="clear" w:color="auto" w:fill="FFFFFF"/>
        </w:rPr>
        <w:t xml:space="preserve"> (2016</w:t>
      </w:r>
      <w:r>
        <w:rPr>
          <w:rFonts w:ascii="Times New Roman" w:hAnsi="Times New Roman" w:cs="Times New Roman"/>
          <w:color w:val="222222"/>
          <w:sz w:val="24"/>
          <w:szCs w:val="24"/>
          <w:shd w:val="clear" w:color="auto" w:fill="FFFFFF"/>
        </w:rPr>
        <w:t xml:space="preserve">), Nota explicativa 2.2, recuperado de </w:t>
      </w:r>
      <w:r w:rsidR="004832CA" w:rsidRPr="004832CA">
        <w:rPr>
          <w:rFonts w:ascii="Times New Roman" w:hAnsi="Times New Roman" w:cs="Times New Roman"/>
          <w:color w:val="222222"/>
          <w:sz w:val="24"/>
          <w:szCs w:val="24"/>
          <w:shd w:val="clear" w:color="auto" w:fill="FFFFFF"/>
        </w:rPr>
        <w:t>https://www.itau.com.br/_arquivosestaticos/RI/pdf/pt/Itau_RAC_2015_port.pdf?title=Relat%C3%B3rio%20Anual%20Consolidado%20-%202015</w:t>
      </w:r>
      <w:r w:rsidR="004832CA">
        <w:rPr>
          <w:rFonts w:ascii="Times New Roman" w:hAnsi="Times New Roman" w:cs="Times New Roman"/>
          <w:color w:val="222222"/>
          <w:sz w:val="24"/>
          <w:szCs w:val="24"/>
          <w:shd w:val="clear" w:color="auto" w:fill="FFFFFF"/>
        </w:rPr>
        <w:t>.</w:t>
      </w:r>
    </w:p>
    <w:p w14:paraId="177CB47F"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Castiglione, L. (2016).</w:t>
      </w:r>
      <w:r w:rsidRPr="00141C43">
        <w:rPr>
          <w:rFonts w:ascii="Times New Roman" w:hAnsi="Times New Roman" w:cs="Times New Roman"/>
          <w:sz w:val="24"/>
          <w:szCs w:val="24"/>
        </w:rPr>
        <w:t xml:space="preserve"> </w:t>
      </w:r>
      <w:r w:rsidRPr="0026795D">
        <w:rPr>
          <w:rFonts w:ascii="Times New Roman" w:hAnsi="Times New Roman" w:cs="Times New Roman"/>
          <w:i/>
          <w:sz w:val="24"/>
          <w:szCs w:val="24"/>
        </w:rPr>
        <w:t>Ranking d</w:t>
      </w:r>
      <w:r>
        <w:rPr>
          <w:rFonts w:ascii="Times New Roman" w:hAnsi="Times New Roman" w:cs="Times New Roman"/>
          <w:i/>
          <w:sz w:val="24"/>
          <w:szCs w:val="24"/>
        </w:rPr>
        <w:t xml:space="preserve">as seguradoras – Jan a </w:t>
      </w:r>
      <w:proofErr w:type="spellStart"/>
      <w:r>
        <w:rPr>
          <w:rFonts w:ascii="Times New Roman" w:hAnsi="Times New Roman" w:cs="Times New Roman"/>
          <w:i/>
          <w:sz w:val="24"/>
          <w:szCs w:val="24"/>
        </w:rPr>
        <w:t>Nov</w:t>
      </w:r>
      <w:proofErr w:type="spellEnd"/>
      <w:r>
        <w:rPr>
          <w:rFonts w:ascii="Times New Roman" w:hAnsi="Times New Roman" w:cs="Times New Roman"/>
          <w:i/>
          <w:sz w:val="24"/>
          <w:szCs w:val="24"/>
        </w:rPr>
        <w:t xml:space="preserve"> 2015.</w:t>
      </w:r>
      <w:r w:rsidRPr="0026795D">
        <w:rPr>
          <w:rFonts w:ascii="Times New Roman" w:hAnsi="Times New Roman" w:cs="Times New Roman"/>
          <w:i/>
          <w:sz w:val="24"/>
          <w:szCs w:val="24"/>
        </w:rPr>
        <w:t xml:space="preserve"> </w:t>
      </w:r>
      <w:proofErr w:type="spellStart"/>
      <w:r w:rsidRPr="0026795D">
        <w:rPr>
          <w:rFonts w:ascii="Times New Roman" w:hAnsi="Times New Roman" w:cs="Times New Roman"/>
          <w:i/>
          <w:sz w:val="24"/>
          <w:szCs w:val="24"/>
        </w:rPr>
        <w:t>Sindsegsp</w:t>
      </w:r>
      <w:proofErr w:type="spellEnd"/>
      <w:r w:rsidRPr="0026795D">
        <w:rPr>
          <w:rFonts w:ascii="Times New Roman" w:hAnsi="Times New Roman" w:cs="Times New Roman"/>
          <w:i/>
          <w:sz w:val="24"/>
          <w:szCs w:val="24"/>
        </w:rPr>
        <w:t xml:space="preserve"> – Sindicado das Empresas Seguradoras, </w:t>
      </w:r>
      <w:proofErr w:type="spellStart"/>
      <w:r w:rsidRPr="0026795D">
        <w:rPr>
          <w:rFonts w:ascii="Times New Roman" w:hAnsi="Times New Roman" w:cs="Times New Roman"/>
          <w:i/>
          <w:sz w:val="24"/>
          <w:szCs w:val="24"/>
        </w:rPr>
        <w:t>Resseguradoras</w:t>
      </w:r>
      <w:proofErr w:type="spellEnd"/>
      <w:r w:rsidRPr="0026795D">
        <w:rPr>
          <w:rFonts w:ascii="Times New Roman" w:hAnsi="Times New Roman" w:cs="Times New Roman"/>
          <w:i/>
          <w:sz w:val="24"/>
          <w:szCs w:val="24"/>
        </w:rPr>
        <w:t xml:space="preserve"> e Capitalização</w:t>
      </w:r>
      <w:r>
        <w:rPr>
          <w:rFonts w:ascii="Times New Roman" w:hAnsi="Times New Roman" w:cs="Times New Roman"/>
          <w:i/>
          <w:sz w:val="24"/>
          <w:szCs w:val="24"/>
        </w:rPr>
        <w:t>.</w:t>
      </w:r>
      <w:r w:rsidRPr="00141C43">
        <w:rPr>
          <w:rFonts w:ascii="Times New Roman" w:hAnsi="Times New Roman" w:cs="Times New Roman"/>
          <w:sz w:val="24"/>
          <w:szCs w:val="24"/>
        </w:rPr>
        <w:t xml:space="preserve"> Recuperado de </w:t>
      </w:r>
      <w:r w:rsidRPr="004B54B2">
        <w:rPr>
          <w:rFonts w:ascii="Times New Roman" w:hAnsi="Times New Roman" w:cs="Times New Roman"/>
          <w:sz w:val="24"/>
          <w:szCs w:val="24"/>
        </w:rPr>
        <w:t>http://www.sindsegsp.org.br/site/content/files/estudos-economicos/635884694507479783.pdf</w:t>
      </w:r>
    </w:p>
    <w:p w14:paraId="485DB06D"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FA0F67">
        <w:rPr>
          <w:rFonts w:ascii="Times New Roman" w:hAnsi="Times New Roman" w:cs="Times New Roman"/>
          <w:i/>
          <w:sz w:val="24"/>
          <w:szCs w:val="24"/>
        </w:rPr>
        <w:t xml:space="preserve">Circular </w:t>
      </w:r>
      <w:r w:rsidRPr="008360C6">
        <w:rPr>
          <w:rFonts w:ascii="Times New Roman" w:hAnsi="Times New Roman" w:cs="Times New Roman"/>
          <w:i/>
          <w:sz w:val="24"/>
          <w:szCs w:val="24"/>
        </w:rPr>
        <w:t>SUSEP</w:t>
      </w:r>
      <w:r>
        <w:rPr>
          <w:rFonts w:ascii="Times New Roman" w:hAnsi="Times New Roman" w:cs="Times New Roman"/>
          <w:i/>
          <w:sz w:val="24"/>
          <w:szCs w:val="24"/>
        </w:rPr>
        <w:t xml:space="preserve"> </w:t>
      </w:r>
      <w:r w:rsidRPr="00FA0F67">
        <w:rPr>
          <w:rFonts w:ascii="Times New Roman" w:hAnsi="Times New Roman" w:cs="Times New Roman"/>
          <w:i/>
          <w:sz w:val="24"/>
          <w:szCs w:val="24"/>
        </w:rPr>
        <w:t>n. 224</w:t>
      </w:r>
      <w:r>
        <w:rPr>
          <w:rFonts w:ascii="Times New Roman" w:hAnsi="Times New Roman" w:cs="Times New Roman"/>
          <w:i/>
          <w:sz w:val="24"/>
          <w:szCs w:val="24"/>
        </w:rPr>
        <w:t>,</w:t>
      </w:r>
      <w:r w:rsidRPr="00FA0F67">
        <w:rPr>
          <w:rFonts w:ascii="Times New Roman" w:hAnsi="Times New Roman" w:cs="Times New Roman"/>
          <w:i/>
          <w:sz w:val="24"/>
          <w:szCs w:val="24"/>
        </w:rPr>
        <w:t xml:space="preserve"> de 13 de dezembro de 2002</w:t>
      </w:r>
      <w:r>
        <w:rPr>
          <w:rFonts w:ascii="Times New Roman" w:hAnsi="Times New Roman" w:cs="Times New Roman"/>
          <w:sz w:val="24"/>
          <w:szCs w:val="24"/>
        </w:rPr>
        <w:t xml:space="preserve">. </w:t>
      </w:r>
      <w:r w:rsidRPr="008360C6">
        <w:rPr>
          <w:rFonts w:ascii="Times New Roman" w:hAnsi="Times New Roman" w:cs="Times New Roman"/>
          <w:sz w:val="24"/>
          <w:szCs w:val="24"/>
        </w:rPr>
        <w:t xml:space="preserve">Dispõe sobre a vigência do Plano de Contas das Sociedades Seguradoras, </w:t>
      </w:r>
      <w:proofErr w:type="spellStart"/>
      <w:r w:rsidRPr="008360C6">
        <w:rPr>
          <w:rFonts w:ascii="Times New Roman" w:hAnsi="Times New Roman" w:cs="Times New Roman"/>
          <w:sz w:val="24"/>
          <w:szCs w:val="24"/>
        </w:rPr>
        <w:t>Resseguradoras</w:t>
      </w:r>
      <w:proofErr w:type="spellEnd"/>
      <w:r w:rsidRPr="008360C6">
        <w:rPr>
          <w:rFonts w:ascii="Times New Roman" w:hAnsi="Times New Roman" w:cs="Times New Roman"/>
          <w:sz w:val="24"/>
          <w:szCs w:val="24"/>
        </w:rPr>
        <w:t xml:space="preserve">, de Capitalização e Entidades </w:t>
      </w:r>
      <w:r w:rsidRPr="008360C6">
        <w:rPr>
          <w:rFonts w:ascii="Times New Roman" w:hAnsi="Times New Roman" w:cs="Times New Roman"/>
          <w:sz w:val="24"/>
          <w:szCs w:val="24"/>
        </w:rPr>
        <w:lastRenderedPageBreak/>
        <w:t>Abertas de Previdência Complementar, instituído pela Resolução CNSP nº 86, de 19 de agosto de 2002, e revoga as Circulares SUSEP nº 131, de 8 de junho de 2000; nº 133, de 15 de junho de 2000; nº 142, de 1 de novembro de 2000; nº 150, de 29 de janeiro de 2001; n° 155, de 20 de abril de 2001; nº 192, de 26 de junho de 2002; e n° 204, de 10 de outubro de 2002</w:t>
      </w:r>
      <w:r>
        <w:t>.</w:t>
      </w:r>
      <w:r w:rsidRPr="00141C43">
        <w:rPr>
          <w:rFonts w:ascii="Times New Roman" w:hAnsi="Times New Roman" w:cs="Times New Roman"/>
          <w:sz w:val="24"/>
          <w:szCs w:val="24"/>
        </w:rPr>
        <w:t xml:space="preserve"> </w:t>
      </w:r>
      <w:r>
        <w:rPr>
          <w:rFonts w:ascii="Times New Roman" w:hAnsi="Times New Roman" w:cs="Times New Roman"/>
          <w:sz w:val="24"/>
          <w:szCs w:val="24"/>
        </w:rPr>
        <w:t>R</w:t>
      </w:r>
      <w:r w:rsidRPr="00141C43">
        <w:rPr>
          <w:rFonts w:ascii="Times New Roman" w:hAnsi="Times New Roman" w:cs="Times New Roman"/>
          <w:sz w:val="24"/>
          <w:szCs w:val="24"/>
        </w:rPr>
        <w:t xml:space="preserve">ecuperado de </w:t>
      </w:r>
      <w:r w:rsidRPr="00D9673D">
        <w:rPr>
          <w:rFonts w:ascii="Times New Roman" w:hAnsi="Times New Roman" w:cs="Times New Roman"/>
          <w:sz w:val="24"/>
          <w:szCs w:val="24"/>
        </w:rPr>
        <w:t>http://www2.susep.gov.br/bibliotecaweb/docOriginal.aspx?tipo=1&amp;codigo=12282</w:t>
      </w:r>
      <w:r w:rsidRPr="00141C43">
        <w:rPr>
          <w:rFonts w:ascii="Times New Roman" w:hAnsi="Times New Roman" w:cs="Times New Roman"/>
          <w:sz w:val="24"/>
          <w:szCs w:val="24"/>
        </w:rPr>
        <w:t>.</w:t>
      </w:r>
    </w:p>
    <w:p w14:paraId="2074C762"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FA0F67">
        <w:rPr>
          <w:rFonts w:ascii="Times New Roman" w:hAnsi="Times New Roman" w:cs="Times New Roman"/>
          <w:i/>
          <w:sz w:val="24"/>
          <w:szCs w:val="24"/>
        </w:rPr>
        <w:t xml:space="preserve">Circular </w:t>
      </w:r>
      <w:r>
        <w:rPr>
          <w:rFonts w:ascii="Times New Roman" w:hAnsi="Times New Roman" w:cs="Times New Roman"/>
          <w:i/>
          <w:sz w:val="24"/>
          <w:szCs w:val="24"/>
        </w:rPr>
        <w:t xml:space="preserve">SUSEP </w:t>
      </w:r>
      <w:r w:rsidRPr="00FA0F67">
        <w:rPr>
          <w:rFonts w:ascii="Times New Roman" w:hAnsi="Times New Roman" w:cs="Times New Roman"/>
          <w:i/>
          <w:sz w:val="24"/>
          <w:szCs w:val="24"/>
        </w:rPr>
        <w:t>n. 483</w:t>
      </w:r>
      <w:r>
        <w:rPr>
          <w:rFonts w:ascii="Times New Roman" w:hAnsi="Times New Roman" w:cs="Times New Roman"/>
          <w:i/>
          <w:sz w:val="24"/>
          <w:szCs w:val="24"/>
        </w:rPr>
        <w:t>,</w:t>
      </w:r>
      <w:r w:rsidRPr="00FA0F67">
        <w:rPr>
          <w:rFonts w:ascii="Times New Roman" w:hAnsi="Times New Roman" w:cs="Times New Roman"/>
          <w:i/>
          <w:sz w:val="24"/>
          <w:szCs w:val="24"/>
        </w:rPr>
        <w:t xml:space="preserve"> de 1 de abril de 2014</w:t>
      </w:r>
      <w:r>
        <w:rPr>
          <w:rFonts w:ascii="Times New Roman" w:hAnsi="Times New Roman" w:cs="Times New Roman"/>
          <w:sz w:val="24"/>
          <w:szCs w:val="24"/>
        </w:rPr>
        <w:t xml:space="preserve">. </w:t>
      </w:r>
      <w:r w:rsidRPr="00141C43">
        <w:rPr>
          <w:rFonts w:ascii="Times New Roman" w:hAnsi="Times New Roman" w:cs="Times New Roman"/>
          <w:sz w:val="24"/>
          <w:szCs w:val="24"/>
        </w:rPr>
        <w:t xml:space="preserve">Principais mudanças na norma contábil, recuperado de </w:t>
      </w:r>
      <w:r w:rsidRPr="008360C6">
        <w:t>http://www.susep.gov.br/setores-susep/noticias/noticias/Apresentacao%20-%20Normas%202014%20-%20contab</w:t>
      </w:r>
      <w:r>
        <w:t>ilidade%20-Somente%20leitura.pdf</w:t>
      </w:r>
    </w:p>
    <w:p w14:paraId="2AE3B8AF"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FA0F67">
        <w:rPr>
          <w:rFonts w:ascii="Times New Roman" w:hAnsi="Times New Roman" w:cs="Times New Roman"/>
          <w:i/>
          <w:sz w:val="24"/>
          <w:szCs w:val="24"/>
        </w:rPr>
        <w:t xml:space="preserve">Circular </w:t>
      </w:r>
      <w:r>
        <w:rPr>
          <w:rFonts w:ascii="Times New Roman" w:hAnsi="Times New Roman" w:cs="Times New Roman"/>
          <w:i/>
          <w:sz w:val="24"/>
          <w:szCs w:val="24"/>
        </w:rPr>
        <w:t xml:space="preserve">Bacen </w:t>
      </w:r>
      <w:r w:rsidRPr="00FA0F67">
        <w:rPr>
          <w:rFonts w:ascii="Times New Roman" w:hAnsi="Times New Roman" w:cs="Times New Roman"/>
          <w:i/>
          <w:sz w:val="24"/>
          <w:szCs w:val="24"/>
        </w:rPr>
        <w:t>n. 3.068 de 8 de novembro de 2001</w:t>
      </w:r>
      <w:r>
        <w:rPr>
          <w:rFonts w:ascii="Times New Roman" w:hAnsi="Times New Roman" w:cs="Times New Roman"/>
          <w:sz w:val="24"/>
          <w:szCs w:val="24"/>
        </w:rPr>
        <w:t>.</w:t>
      </w:r>
      <w:r w:rsidRPr="00141C43">
        <w:rPr>
          <w:rFonts w:ascii="Times New Roman" w:hAnsi="Times New Roman" w:cs="Times New Roman"/>
          <w:sz w:val="24"/>
          <w:szCs w:val="24"/>
        </w:rPr>
        <w:t xml:space="preserve"> Estabelece critérios para registro e avaliação contábil de títulos e valores mobiliários. Recuperado de </w:t>
      </w:r>
      <w:r w:rsidRPr="008360C6">
        <w:t>http://www.bcb.gov.br/pre/normativos/circ/2001/pdf/circ_3068_v3_L.pdf</w:t>
      </w:r>
    </w:p>
    <w:p w14:paraId="110406F7" w14:textId="24E5BED5" w:rsidR="00A21A12" w:rsidRPr="00141C43" w:rsidRDefault="00A21A12" w:rsidP="00D55EBA">
      <w:pPr>
        <w:spacing w:after="240" w:line="240" w:lineRule="auto"/>
        <w:ind w:left="426" w:hanging="425"/>
        <w:jc w:val="both"/>
        <w:rPr>
          <w:rFonts w:ascii="Times New Roman" w:hAnsi="Times New Roman" w:cs="Times New Roman"/>
          <w:sz w:val="24"/>
          <w:szCs w:val="24"/>
        </w:rPr>
      </w:pPr>
      <w:r w:rsidRPr="00141C43">
        <w:rPr>
          <w:rFonts w:ascii="Times New Roman" w:hAnsi="Times New Roman" w:cs="Times New Roman"/>
          <w:sz w:val="24"/>
          <w:szCs w:val="24"/>
        </w:rPr>
        <w:t>Comissão de</w:t>
      </w:r>
      <w:r w:rsidR="00CF770A">
        <w:rPr>
          <w:rFonts w:ascii="Times New Roman" w:hAnsi="Times New Roman" w:cs="Times New Roman"/>
          <w:sz w:val="24"/>
          <w:szCs w:val="24"/>
        </w:rPr>
        <w:t xml:space="preserve"> valores mobiliários – CVM, (197</w:t>
      </w:r>
      <w:r w:rsidRPr="00141C43">
        <w:rPr>
          <w:rFonts w:ascii="Times New Roman" w:hAnsi="Times New Roman" w:cs="Times New Roman"/>
          <w:sz w:val="24"/>
          <w:szCs w:val="24"/>
        </w:rPr>
        <w:t xml:space="preserve">6), </w:t>
      </w:r>
      <w:proofErr w:type="gramStart"/>
      <w:r w:rsidRPr="00141C43">
        <w:rPr>
          <w:rFonts w:ascii="Times New Roman" w:hAnsi="Times New Roman" w:cs="Times New Roman"/>
          <w:sz w:val="24"/>
          <w:szCs w:val="24"/>
        </w:rPr>
        <w:t>Sobre</w:t>
      </w:r>
      <w:proofErr w:type="gramEnd"/>
      <w:r w:rsidRPr="00141C43">
        <w:rPr>
          <w:rFonts w:ascii="Times New Roman" w:hAnsi="Times New Roman" w:cs="Times New Roman"/>
          <w:sz w:val="24"/>
          <w:szCs w:val="24"/>
        </w:rPr>
        <w:t xml:space="preserve"> a CVM. Recuperado de http://www.cvm.gov.br/menu/acesso_informacao/institucional/sobre/cvm.html.</w:t>
      </w:r>
    </w:p>
    <w:p w14:paraId="2CFF929D"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FA0F67">
        <w:rPr>
          <w:rFonts w:ascii="Times New Roman" w:hAnsi="Times New Roman" w:cs="Times New Roman"/>
          <w:i/>
          <w:sz w:val="24"/>
          <w:szCs w:val="24"/>
        </w:rPr>
        <w:t>Comunicado n. 14.259, de 10 de março de 2006</w:t>
      </w:r>
      <w:r>
        <w:rPr>
          <w:rFonts w:ascii="Times New Roman" w:hAnsi="Times New Roman" w:cs="Times New Roman"/>
          <w:sz w:val="24"/>
          <w:szCs w:val="24"/>
        </w:rPr>
        <w:t xml:space="preserve">. </w:t>
      </w:r>
      <w:r w:rsidRPr="00141C43">
        <w:rPr>
          <w:rFonts w:ascii="Times New Roman" w:hAnsi="Times New Roman" w:cs="Times New Roman"/>
          <w:sz w:val="24"/>
          <w:szCs w:val="24"/>
        </w:rPr>
        <w:t>Estabelece a convergência das norma</w:t>
      </w:r>
      <w:r>
        <w:rPr>
          <w:rFonts w:ascii="Times New Roman" w:hAnsi="Times New Roman" w:cs="Times New Roman"/>
          <w:sz w:val="24"/>
          <w:szCs w:val="24"/>
        </w:rPr>
        <w:t>s</w:t>
      </w:r>
      <w:r w:rsidRPr="00141C43">
        <w:rPr>
          <w:rFonts w:ascii="Times New Roman" w:hAnsi="Times New Roman" w:cs="Times New Roman"/>
          <w:sz w:val="24"/>
          <w:szCs w:val="24"/>
        </w:rPr>
        <w:t xml:space="preserve"> de contabilidade e auditoria com as normas internacionais promulgadas pelo </w:t>
      </w:r>
      <w:proofErr w:type="spellStart"/>
      <w:r w:rsidRPr="00141C43">
        <w:rPr>
          <w:rFonts w:ascii="Times New Roman" w:hAnsi="Times New Roman" w:cs="Times New Roman"/>
          <w:sz w:val="24"/>
          <w:szCs w:val="24"/>
        </w:rPr>
        <w:t>International</w:t>
      </w:r>
      <w:proofErr w:type="spellEnd"/>
      <w:r w:rsidRPr="00141C43">
        <w:rPr>
          <w:rFonts w:ascii="Times New Roman" w:hAnsi="Times New Roman" w:cs="Times New Roman"/>
          <w:sz w:val="24"/>
          <w:szCs w:val="24"/>
        </w:rPr>
        <w:t xml:space="preserve"> </w:t>
      </w:r>
      <w:proofErr w:type="spellStart"/>
      <w:r w:rsidRPr="00141C43">
        <w:rPr>
          <w:rFonts w:ascii="Times New Roman" w:hAnsi="Times New Roman" w:cs="Times New Roman"/>
          <w:sz w:val="24"/>
          <w:szCs w:val="24"/>
        </w:rPr>
        <w:t>Accounting</w:t>
      </w:r>
      <w:proofErr w:type="spellEnd"/>
      <w:r w:rsidRPr="00141C43">
        <w:rPr>
          <w:rFonts w:ascii="Times New Roman" w:hAnsi="Times New Roman" w:cs="Times New Roman"/>
          <w:sz w:val="24"/>
          <w:szCs w:val="24"/>
        </w:rPr>
        <w:t xml:space="preserve"> Standards </w:t>
      </w:r>
      <w:proofErr w:type="spellStart"/>
      <w:r w:rsidRPr="00141C43">
        <w:rPr>
          <w:rFonts w:ascii="Times New Roman" w:hAnsi="Times New Roman" w:cs="Times New Roman"/>
          <w:sz w:val="24"/>
          <w:szCs w:val="24"/>
        </w:rPr>
        <w:t>Board</w:t>
      </w:r>
      <w:proofErr w:type="spellEnd"/>
      <w:r w:rsidRPr="00141C43">
        <w:rPr>
          <w:rFonts w:ascii="Times New Roman" w:hAnsi="Times New Roman" w:cs="Times New Roman"/>
          <w:sz w:val="24"/>
          <w:szCs w:val="24"/>
        </w:rPr>
        <w:t xml:space="preserve"> (IASB). Recuperado de https://www3.bcb.gov.br/normativo/detalharNormativo.do?method=detalharNormativo&amp;N=106064950.</w:t>
      </w:r>
    </w:p>
    <w:p w14:paraId="6FA85502" w14:textId="77777777" w:rsidR="00CF770A" w:rsidRPr="00671A26" w:rsidRDefault="00CF770A" w:rsidP="00CF770A">
      <w:pPr>
        <w:spacing w:after="240" w:line="240" w:lineRule="auto"/>
        <w:ind w:left="426" w:hanging="426"/>
        <w:jc w:val="both"/>
        <w:rPr>
          <w:rFonts w:ascii="Times New Roman" w:hAnsi="Times New Roman" w:cs="Times New Roman"/>
          <w:sz w:val="24"/>
          <w:szCs w:val="24"/>
          <w:lang w:val="en-US"/>
        </w:rPr>
      </w:pPr>
      <w:r w:rsidRPr="00671A26">
        <w:rPr>
          <w:rFonts w:ascii="Times New Roman" w:hAnsi="Times New Roman" w:cs="Times New Roman"/>
          <w:sz w:val="24"/>
          <w:szCs w:val="24"/>
        </w:rPr>
        <w:t xml:space="preserve">Ernst &amp; Young, &amp; Fundação Instituto de Pesquisas Contábeis, Atuariais E Financeiras. (2010). </w:t>
      </w:r>
      <w:r w:rsidRPr="00671A26">
        <w:rPr>
          <w:rFonts w:ascii="Times New Roman" w:hAnsi="Times New Roman" w:cs="Times New Roman"/>
          <w:i/>
          <w:sz w:val="24"/>
          <w:szCs w:val="24"/>
        </w:rPr>
        <w:t>Manual de normas internacionais de contabilidade: IFRS versus normas brasileiras</w:t>
      </w:r>
      <w:r w:rsidRPr="00671A26">
        <w:rPr>
          <w:rFonts w:ascii="Times New Roman" w:hAnsi="Times New Roman" w:cs="Times New Roman"/>
          <w:sz w:val="24"/>
          <w:szCs w:val="24"/>
        </w:rPr>
        <w:t xml:space="preserve"> (2a ed. atual. </w:t>
      </w:r>
      <w:proofErr w:type="gramStart"/>
      <w:r w:rsidRPr="00671A26">
        <w:rPr>
          <w:rFonts w:ascii="Times New Roman" w:hAnsi="Times New Roman" w:cs="Times New Roman"/>
          <w:sz w:val="24"/>
          <w:szCs w:val="24"/>
        </w:rPr>
        <w:t>conforme</w:t>
      </w:r>
      <w:proofErr w:type="gramEnd"/>
      <w:r w:rsidRPr="00671A26">
        <w:rPr>
          <w:rFonts w:ascii="Times New Roman" w:hAnsi="Times New Roman" w:cs="Times New Roman"/>
          <w:sz w:val="24"/>
          <w:szCs w:val="24"/>
        </w:rPr>
        <w:t xml:space="preserve"> pronunciamentos emitidos até novembro de 2009 pelo Comitê de Pronunciamentos Contábeis (CPC)). </w:t>
      </w:r>
      <w:r w:rsidRPr="00671A26">
        <w:rPr>
          <w:rFonts w:ascii="Times New Roman" w:hAnsi="Times New Roman" w:cs="Times New Roman"/>
          <w:sz w:val="24"/>
          <w:szCs w:val="24"/>
          <w:lang w:val="en-US"/>
        </w:rPr>
        <w:t>São Paulo: Atlas.</w:t>
      </w:r>
    </w:p>
    <w:p w14:paraId="3CBBBF36" w14:textId="77777777" w:rsidR="00743621" w:rsidRPr="00141C43" w:rsidRDefault="00743621" w:rsidP="00D55EBA">
      <w:pPr>
        <w:spacing w:after="240" w:line="240" w:lineRule="auto"/>
        <w:ind w:left="426" w:hanging="425"/>
        <w:jc w:val="both"/>
        <w:rPr>
          <w:rFonts w:ascii="Times New Roman" w:hAnsi="Times New Roman" w:cs="Times New Roman"/>
          <w:sz w:val="24"/>
          <w:szCs w:val="24"/>
        </w:rPr>
      </w:pPr>
      <w:r w:rsidRPr="00141C43">
        <w:rPr>
          <w:rFonts w:ascii="Times New Roman" w:hAnsi="Times New Roman" w:cs="Times New Roman"/>
          <w:sz w:val="24"/>
          <w:szCs w:val="24"/>
        </w:rPr>
        <w:t>Estruturas a Termo das Taxas de Juros</w:t>
      </w:r>
      <w:r w:rsidR="005D4132" w:rsidRPr="00141C43">
        <w:rPr>
          <w:rFonts w:ascii="Times New Roman" w:hAnsi="Times New Roman" w:cs="Times New Roman"/>
          <w:sz w:val="24"/>
          <w:szCs w:val="24"/>
        </w:rPr>
        <w:t xml:space="preserve"> – ETTJ (2016)</w:t>
      </w:r>
      <w:r w:rsidRPr="00141C43">
        <w:rPr>
          <w:rFonts w:ascii="Times New Roman" w:hAnsi="Times New Roman" w:cs="Times New Roman"/>
          <w:sz w:val="24"/>
          <w:szCs w:val="24"/>
        </w:rPr>
        <w:t>, Estimativa de ta</w:t>
      </w:r>
      <w:r w:rsidR="005D4132" w:rsidRPr="00141C43">
        <w:rPr>
          <w:rFonts w:ascii="Times New Roman" w:hAnsi="Times New Roman" w:cs="Times New Roman"/>
          <w:sz w:val="24"/>
          <w:szCs w:val="24"/>
        </w:rPr>
        <w:t>xa de juros para projeção futura</w:t>
      </w:r>
      <w:r w:rsidRPr="00141C43">
        <w:rPr>
          <w:rFonts w:ascii="Times New Roman" w:hAnsi="Times New Roman" w:cs="Times New Roman"/>
          <w:sz w:val="24"/>
          <w:szCs w:val="24"/>
        </w:rPr>
        <w:t xml:space="preserve">, recuperado de </w:t>
      </w:r>
      <w:hyperlink r:id="rId11" w:history="1">
        <w:r w:rsidR="0034249B" w:rsidRPr="00141C43">
          <w:rPr>
            <w:rStyle w:val="Hyperlink"/>
            <w:rFonts w:ascii="Times New Roman" w:hAnsi="Times New Roman" w:cs="Times New Roman"/>
            <w:sz w:val="24"/>
            <w:szCs w:val="24"/>
          </w:rPr>
          <w:t>http://www.susep.gov.br/setores-susep/cgsoa/coris/dicem/modelo-de-interpolacao-e-extrapolacao-da-ettj</w:t>
        </w:r>
      </w:hyperlink>
      <w:r w:rsidRPr="00141C43">
        <w:rPr>
          <w:rFonts w:ascii="Times New Roman" w:hAnsi="Times New Roman" w:cs="Times New Roman"/>
          <w:sz w:val="24"/>
          <w:szCs w:val="24"/>
        </w:rPr>
        <w:t>.</w:t>
      </w:r>
    </w:p>
    <w:p w14:paraId="080AB9C5"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Fuji, A. H. (2008).</w:t>
      </w:r>
      <w:r w:rsidRPr="00141C43">
        <w:rPr>
          <w:rFonts w:ascii="Times New Roman" w:hAnsi="Times New Roman" w:cs="Times New Roman"/>
          <w:sz w:val="24"/>
          <w:szCs w:val="24"/>
        </w:rPr>
        <w:t xml:space="preserve"> Contabilização de títulos e valores mobiliários: </w:t>
      </w:r>
      <w:r>
        <w:rPr>
          <w:rFonts w:ascii="Times New Roman" w:hAnsi="Times New Roman" w:cs="Times New Roman"/>
          <w:sz w:val="24"/>
          <w:szCs w:val="24"/>
        </w:rPr>
        <w:t>U</w:t>
      </w:r>
      <w:r w:rsidRPr="00141C43">
        <w:rPr>
          <w:rFonts w:ascii="Times New Roman" w:hAnsi="Times New Roman" w:cs="Times New Roman"/>
          <w:sz w:val="24"/>
          <w:szCs w:val="24"/>
        </w:rPr>
        <w:t>ma comparação entre as normas b</w:t>
      </w:r>
      <w:r>
        <w:rPr>
          <w:rFonts w:ascii="Times New Roman" w:hAnsi="Times New Roman" w:cs="Times New Roman"/>
          <w:sz w:val="24"/>
          <w:szCs w:val="24"/>
        </w:rPr>
        <w:t>rasileiras, do FASB e do IASB.</w:t>
      </w:r>
      <w:r w:rsidRPr="00141C43">
        <w:rPr>
          <w:rFonts w:ascii="Times New Roman" w:hAnsi="Times New Roman" w:cs="Times New Roman"/>
          <w:sz w:val="24"/>
          <w:szCs w:val="24"/>
        </w:rPr>
        <w:t xml:space="preserve"> </w:t>
      </w:r>
      <w:r w:rsidRPr="00B019D8">
        <w:rPr>
          <w:rFonts w:ascii="Times New Roman" w:hAnsi="Times New Roman" w:cs="Times New Roman"/>
          <w:i/>
          <w:sz w:val="24"/>
          <w:szCs w:val="24"/>
        </w:rPr>
        <w:t>Revista de Contabilidade e Finanças – USP</w:t>
      </w:r>
      <w:r>
        <w:rPr>
          <w:rFonts w:ascii="Times New Roman" w:hAnsi="Times New Roman" w:cs="Times New Roman"/>
          <w:sz w:val="24"/>
          <w:szCs w:val="24"/>
        </w:rPr>
        <w:t>,</w:t>
      </w:r>
      <w:r w:rsidRPr="008160E1">
        <w:rPr>
          <w:rFonts w:ascii="Times New Roman" w:hAnsi="Times New Roman" w:cs="Times New Roman"/>
          <w:i/>
          <w:sz w:val="24"/>
          <w:szCs w:val="24"/>
        </w:rPr>
        <w:t>19</w:t>
      </w:r>
      <w:r>
        <w:rPr>
          <w:rFonts w:ascii="Times New Roman" w:hAnsi="Times New Roman" w:cs="Times New Roman"/>
          <w:sz w:val="24"/>
          <w:szCs w:val="24"/>
        </w:rPr>
        <w:t>(47), 112–123.</w:t>
      </w:r>
    </w:p>
    <w:p w14:paraId="74CD5D30" w14:textId="77777777" w:rsidR="00CF770A" w:rsidRPr="00141C43" w:rsidRDefault="00CF770A" w:rsidP="00CF770A">
      <w:pPr>
        <w:spacing w:after="24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Henry, E. (2009).</w:t>
      </w:r>
      <w:r w:rsidRPr="00141C43">
        <w:rPr>
          <w:rFonts w:ascii="Times New Roman" w:hAnsi="Times New Roman" w:cs="Times New Roman"/>
          <w:sz w:val="24"/>
          <w:szCs w:val="24"/>
          <w:lang w:val="en-US"/>
        </w:rPr>
        <w:t xml:space="preserve"> Early </w:t>
      </w:r>
      <w:r>
        <w:rPr>
          <w:rFonts w:ascii="Times New Roman" w:hAnsi="Times New Roman" w:cs="Times New Roman"/>
          <w:sz w:val="24"/>
          <w:szCs w:val="24"/>
          <w:lang w:val="en-US"/>
        </w:rPr>
        <w:t>a</w:t>
      </w:r>
      <w:r w:rsidRPr="00141C43">
        <w:rPr>
          <w:rFonts w:ascii="Times New Roman" w:hAnsi="Times New Roman" w:cs="Times New Roman"/>
          <w:sz w:val="24"/>
          <w:szCs w:val="24"/>
          <w:lang w:val="en-US"/>
        </w:rPr>
        <w:t>doption of SFAS nº 159: Les</w:t>
      </w:r>
      <w:r>
        <w:rPr>
          <w:rFonts w:ascii="Times New Roman" w:hAnsi="Times New Roman" w:cs="Times New Roman"/>
          <w:sz w:val="24"/>
          <w:szCs w:val="24"/>
          <w:lang w:val="en-US"/>
        </w:rPr>
        <w:t>sons from games (Almost) played.</w:t>
      </w:r>
      <w:r w:rsidRPr="00141C43">
        <w:rPr>
          <w:rFonts w:ascii="Times New Roman" w:hAnsi="Times New Roman" w:cs="Times New Roman"/>
          <w:sz w:val="24"/>
          <w:szCs w:val="24"/>
          <w:lang w:val="en-US"/>
        </w:rPr>
        <w:t xml:space="preserve"> </w:t>
      </w:r>
      <w:r w:rsidRPr="00B019D8">
        <w:rPr>
          <w:rFonts w:ascii="Times New Roman" w:hAnsi="Times New Roman" w:cs="Times New Roman"/>
          <w:i/>
          <w:sz w:val="24"/>
          <w:szCs w:val="24"/>
          <w:lang w:val="en-US"/>
        </w:rPr>
        <w:t>American Accounting Association</w:t>
      </w:r>
      <w:r w:rsidRPr="00141C43">
        <w:rPr>
          <w:rFonts w:ascii="Times New Roman" w:hAnsi="Times New Roman" w:cs="Times New Roman"/>
          <w:sz w:val="24"/>
          <w:szCs w:val="24"/>
          <w:lang w:val="en-US"/>
        </w:rPr>
        <w:t xml:space="preserve">, </w:t>
      </w:r>
      <w:r w:rsidRPr="00DD523F">
        <w:rPr>
          <w:rFonts w:ascii="Times New Roman" w:hAnsi="Times New Roman" w:cs="Times New Roman"/>
          <w:i/>
          <w:sz w:val="24"/>
          <w:szCs w:val="24"/>
          <w:lang w:val="en-US"/>
        </w:rPr>
        <w:t>23</w:t>
      </w:r>
      <w:r>
        <w:rPr>
          <w:rFonts w:ascii="Times New Roman" w:hAnsi="Times New Roman" w:cs="Times New Roman"/>
          <w:sz w:val="24"/>
          <w:szCs w:val="24"/>
          <w:lang w:val="en-US"/>
        </w:rPr>
        <w:t>(</w:t>
      </w:r>
      <w:r w:rsidRPr="00141C43">
        <w:rPr>
          <w:rFonts w:ascii="Times New Roman" w:hAnsi="Times New Roman" w:cs="Times New Roman"/>
          <w:sz w:val="24"/>
          <w:szCs w:val="24"/>
          <w:lang w:val="en-US"/>
        </w:rPr>
        <w:t>2</w:t>
      </w:r>
      <w:r>
        <w:rPr>
          <w:rFonts w:ascii="Times New Roman" w:hAnsi="Times New Roman" w:cs="Times New Roman"/>
          <w:sz w:val="24"/>
          <w:szCs w:val="24"/>
          <w:lang w:val="en-US"/>
        </w:rPr>
        <w:t>0,</w:t>
      </w:r>
      <w:r w:rsidRPr="00141C43">
        <w:rPr>
          <w:rFonts w:ascii="Times New Roman" w:hAnsi="Times New Roman" w:cs="Times New Roman"/>
          <w:sz w:val="24"/>
          <w:szCs w:val="24"/>
          <w:lang w:val="en-US"/>
        </w:rPr>
        <w:t xml:space="preserve"> 181–199.</w:t>
      </w:r>
    </w:p>
    <w:p w14:paraId="34C8AC47" w14:textId="77777777" w:rsidR="00CF770A" w:rsidRPr="00961F19" w:rsidRDefault="00CF770A" w:rsidP="00CF770A">
      <w:pPr>
        <w:spacing w:after="240" w:line="240" w:lineRule="auto"/>
        <w:ind w:left="426" w:hanging="426"/>
        <w:jc w:val="both"/>
        <w:rPr>
          <w:rFonts w:ascii="Times New Roman" w:hAnsi="Times New Roman" w:cs="Times New Roman"/>
          <w:sz w:val="24"/>
          <w:szCs w:val="24"/>
        </w:rPr>
      </w:pPr>
      <w:r w:rsidRPr="00594F9A">
        <w:rPr>
          <w:rFonts w:ascii="Times New Roman" w:hAnsi="Times New Roman" w:cs="Times New Roman"/>
          <w:i/>
          <w:sz w:val="24"/>
          <w:szCs w:val="24"/>
        </w:rPr>
        <w:t>IAS 39, de 1 de janeiro de 2011</w:t>
      </w:r>
      <w:r w:rsidRPr="00594F9A">
        <w:rPr>
          <w:rFonts w:ascii="Times New Roman" w:hAnsi="Times New Roman" w:cs="Times New Roman"/>
          <w:sz w:val="24"/>
          <w:szCs w:val="24"/>
        </w:rPr>
        <w:t xml:space="preserve">. </w:t>
      </w:r>
      <w:r w:rsidRPr="00141C43">
        <w:rPr>
          <w:rFonts w:ascii="Times New Roman" w:hAnsi="Times New Roman" w:cs="Times New Roman"/>
          <w:sz w:val="24"/>
          <w:szCs w:val="24"/>
          <w:lang w:val="en-US"/>
        </w:rPr>
        <w:t xml:space="preserve">Financial </w:t>
      </w:r>
      <w:r>
        <w:rPr>
          <w:rFonts w:ascii="Times New Roman" w:hAnsi="Times New Roman" w:cs="Times New Roman"/>
          <w:sz w:val="24"/>
          <w:szCs w:val="24"/>
          <w:lang w:val="en-US"/>
        </w:rPr>
        <w:t>i</w:t>
      </w:r>
      <w:r w:rsidRPr="00141C43">
        <w:rPr>
          <w:rFonts w:ascii="Times New Roman" w:hAnsi="Times New Roman" w:cs="Times New Roman"/>
          <w:sz w:val="24"/>
          <w:szCs w:val="24"/>
          <w:lang w:val="en-US"/>
        </w:rPr>
        <w:t xml:space="preserve">nstruments: Recognition and </w:t>
      </w:r>
      <w:r>
        <w:rPr>
          <w:rFonts w:ascii="Times New Roman" w:hAnsi="Times New Roman" w:cs="Times New Roman"/>
          <w:sz w:val="24"/>
          <w:szCs w:val="24"/>
          <w:lang w:val="en-US"/>
        </w:rPr>
        <w:t>m</w:t>
      </w:r>
      <w:r w:rsidRPr="00141C43">
        <w:rPr>
          <w:rFonts w:ascii="Times New Roman" w:hAnsi="Times New Roman" w:cs="Times New Roman"/>
          <w:sz w:val="24"/>
          <w:szCs w:val="24"/>
          <w:lang w:val="en-US"/>
        </w:rPr>
        <w:t xml:space="preserve">easurements. </w:t>
      </w:r>
      <w:r w:rsidRPr="0033735B">
        <w:rPr>
          <w:rFonts w:ascii="Times New Roman" w:hAnsi="Times New Roman" w:cs="Times New Roman"/>
          <w:sz w:val="24"/>
          <w:szCs w:val="24"/>
        </w:rPr>
        <w:t xml:space="preserve">Recuperado de </w:t>
      </w:r>
      <w:r w:rsidRPr="00961F19">
        <w:rPr>
          <w:rStyle w:val="Hyperlink"/>
          <w:rFonts w:ascii="Times New Roman" w:hAnsi="Times New Roman" w:cs="Times New Roman"/>
          <w:color w:val="auto"/>
          <w:sz w:val="24"/>
          <w:szCs w:val="24"/>
          <w:u w:val="none"/>
        </w:rPr>
        <w:t>http://www.ifrs.org/current-projects/iasb-projects/financial-instruments-a-replacement-of-ias-39-financial-instruments-recognitio/Pages/financial-instruments-replacement-of-ias-39.aspx</w:t>
      </w:r>
    </w:p>
    <w:p w14:paraId="3622318B" w14:textId="77777777" w:rsidR="00CF770A" w:rsidRPr="0031013D" w:rsidRDefault="00CF770A" w:rsidP="00CF770A">
      <w:pPr>
        <w:spacing w:after="240" w:line="240" w:lineRule="auto"/>
        <w:ind w:left="426" w:hanging="426"/>
        <w:jc w:val="both"/>
        <w:rPr>
          <w:rFonts w:ascii="Times New Roman" w:hAnsi="Times New Roman" w:cs="Times New Roman"/>
          <w:sz w:val="24"/>
          <w:szCs w:val="24"/>
        </w:rPr>
      </w:pPr>
      <w:r>
        <w:rPr>
          <w:rFonts w:ascii="Times New Roman" w:hAnsi="Times New Roman" w:cs="Times New Roman"/>
          <w:i/>
          <w:sz w:val="24"/>
          <w:szCs w:val="24"/>
          <w:lang w:val="en-US"/>
        </w:rPr>
        <w:t xml:space="preserve">IFRS 9, de </w:t>
      </w:r>
      <w:proofErr w:type="spellStart"/>
      <w:r>
        <w:rPr>
          <w:rFonts w:ascii="Times New Roman" w:hAnsi="Times New Roman" w:cs="Times New Roman"/>
          <w:i/>
          <w:sz w:val="24"/>
          <w:szCs w:val="24"/>
          <w:lang w:val="en-US"/>
        </w:rPr>
        <w:t>julho</w:t>
      </w:r>
      <w:proofErr w:type="spellEnd"/>
      <w:r w:rsidRPr="00584E1D">
        <w:rPr>
          <w:rFonts w:ascii="Times New Roman" w:hAnsi="Times New Roman" w:cs="Times New Roman"/>
          <w:i/>
          <w:sz w:val="24"/>
          <w:szCs w:val="24"/>
          <w:lang w:val="en-US"/>
        </w:rPr>
        <w:t xml:space="preserve"> 2014.</w:t>
      </w:r>
      <w:r w:rsidRPr="00584E1D">
        <w:rPr>
          <w:rFonts w:ascii="Times New Roman" w:hAnsi="Times New Roman" w:cs="Times New Roman"/>
          <w:sz w:val="24"/>
          <w:szCs w:val="24"/>
          <w:lang w:val="en-US"/>
        </w:rPr>
        <w:t xml:space="preserve"> </w:t>
      </w:r>
      <w:r w:rsidRPr="0031013D">
        <w:rPr>
          <w:rFonts w:ascii="Times New Roman" w:hAnsi="Times New Roman" w:cs="Times New Roman"/>
          <w:sz w:val="24"/>
          <w:szCs w:val="24"/>
          <w:lang w:val="en-US"/>
        </w:rPr>
        <w:t xml:space="preserve">Financial </w:t>
      </w:r>
      <w:r>
        <w:rPr>
          <w:rFonts w:ascii="Times New Roman" w:hAnsi="Times New Roman" w:cs="Times New Roman"/>
          <w:sz w:val="24"/>
          <w:szCs w:val="24"/>
          <w:lang w:val="en-US"/>
        </w:rPr>
        <w:t>i</w:t>
      </w:r>
      <w:r w:rsidRPr="0031013D">
        <w:rPr>
          <w:rFonts w:ascii="Times New Roman" w:hAnsi="Times New Roman" w:cs="Times New Roman"/>
          <w:sz w:val="24"/>
          <w:szCs w:val="24"/>
          <w:lang w:val="en-US"/>
        </w:rPr>
        <w:t xml:space="preserve">nstruments: Recognition and </w:t>
      </w:r>
      <w:r>
        <w:rPr>
          <w:rFonts w:ascii="Times New Roman" w:hAnsi="Times New Roman" w:cs="Times New Roman"/>
          <w:sz w:val="24"/>
          <w:szCs w:val="24"/>
          <w:lang w:val="en-US"/>
        </w:rPr>
        <w:t>m</w:t>
      </w:r>
      <w:r w:rsidRPr="0031013D">
        <w:rPr>
          <w:rFonts w:ascii="Times New Roman" w:hAnsi="Times New Roman" w:cs="Times New Roman"/>
          <w:sz w:val="24"/>
          <w:szCs w:val="24"/>
          <w:lang w:val="en-US"/>
        </w:rPr>
        <w:t>easurements</w:t>
      </w:r>
      <w:r>
        <w:rPr>
          <w:rFonts w:ascii="Times New Roman" w:hAnsi="Times New Roman" w:cs="Times New Roman"/>
          <w:sz w:val="24"/>
          <w:szCs w:val="24"/>
          <w:lang w:val="en-US"/>
        </w:rPr>
        <w:t>.</w:t>
      </w:r>
      <w:r w:rsidRPr="00141C43">
        <w:rPr>
          <w:rFonts w:ascii="Times New Roman" w:hAnsi="Times New Roman" w:cs="Times New Roman"/>
          <w:sz w:val="24"/>
          <w:szCs w:val="24"/>
          <w:lang w:val="en-US"/>
        </w:rPr>
        <w:t xml:space="preserve"> </w:t>
      </w:r>
      <w:r w:rsidRPr="0031013D">
        <w:rPr>
          <w:rFonts w:ascii="Times New Roman" w:hAnsi="Times New Roman" w:cs="Times New Roman"/>
          <w:sz w:val="24"/>
          <w:szCs w:val="24"/>
        </w:rPr>
        <w:t xml:space="preserve">Recuperado de </w:t>
      </w:r>
      <w:r w:rsidRPr="00961F19">
        <w:rPr>
          <w:rFonts w:ascii="Times New Roman" w:hAnsi="Times New Roman" w:cs="Times New Roman"/>
          <w:sz w:val="24"/>
          <w:szCs w:val="24"/>
        </w:rPr>
        <w:t>http://www.ifrs.org/Current-Projects/IASB-Projects/Financial-Instruments-A-Replacement-of-IAS-39-Financial-Instruments-Recognitio/Documents/IFRS-9-Project-Summary-July-2014.pdf</w:t>
      </w:r>
    </w:p>
    <w:p w14:paraId="765F1FD0" w14:textId="77777777" w:rsidR="00CF770A" w:rsidRDefault="00CF770A" w:rsidP="00CF770A">
      <w:pPr>
        <w:spacing w:after="240" w:line="240" w:lineRule="auto"/>
        <w:ind w:left="426" w:hanging="426"/>
        <w:jc w:val="both"/>
        <w:rPr>
          <w:rFonts w:ascii="Times New Roman" w:hAnsi="Times New Roman" w:cs="Times New Roman"/>
          <w:sz w:val="24"/>
          <w:szCs w:val="24"/>
        </w:rPr>
      </w:pPr>
      <w:r w:rsidRPr="0031013D">
        <w:rPr>
          <w:rFonts w:ascii="Times New Roman" w:hAnsi="Times New Roman" w:cs="Times New Roman"/>
          <w:i/>
          <w:sz w:val="24"/>
          <w:szCs w:val="24"/>
        </w:rPr>
        <w:t>Instrução CVM n. 235 de 23 de março de 1995</w:t>
      </w:r>
      <w:r>
        <w:rPr>
          <w:rFonts w:ascii="Times New Roman" w:hAnsi="Times New Roman" w:cs="Times New Roman"/>
          <w:i/>
          <w:sz w:val="24"/>
          <w:szCs w:val="24"/>
        </w:rPr>
        <w:t>.</w:t>
      </w:r>
      <w:r w:rsidRPr="00141C43">
        <w:rPr>
          <w:rFonts w:ascii="Times New Roman" w:hAnsi="Times New Roman" w:cs="Times New Roman"/>
          <w:sz w:val="24"/>
          <w:szCs w:val="24"/>
        </w:rPr>
        <w:t xml:space="preserve"> Dispõe sobre a divulgação, em nota explicativa, do valor de mercado dos instrumentos financeiros, reconhecidos ou não nas </w:t>
      </w:r>
      <w:r w:rsidRPr="00141C43">
        <w:rPr>
          <w:rFonts w:ascii="Times New Roman" w:hAnsi="Times New Roman" w:cs="Times New Roman"/>
          <w:sz w:val="24"/>
          <w:szCs w:val="24"/>
        </w:rPr>
        <w:lastRenderedPageBreak/>
        <w:t>demonstrações financeiras das companhias a</w:t>
      </w:r>
      <w:r>
        <w:rPr>
          <w:rFonts w:ascii="Times New Roman" w:hAnsi="Times New Roman" w:cs="Times New Roman"/>
          <w:sz w:val="24"/>
          <w:szCs w:val="24"/>
        </w:rPr>
        <w:t>bertas e dá outras providências. R</w:t>
      </w:r>
      <w:r w:rsidRPr="00141C43">
        <w:rPr>
          <w:rFonts w:ascii="Times New Roman" w:hAnsi="Times New Roman" w:cs="Times New Roman"/>
          <w:sz w:val="24"/>
          <w:szCs w:val="24"/>
        </w:rPr>
        <w:t xml:space="preserve">ecuperado de </w:t>
      </w:r>
      <w:r w:rsidRPr="00961F19">
        <w:rPr>
          <w:rFonts w:ascii="Times New Roman" w:hAnsi="Times New Roman" w:cs="Times New Roman"/>
          <w:sz w:val="24"/>
          <w:szCs w:val="24"/>
        </w:rPr>
        <w:t>http://www.cvm.gov.br/legislacao/inst/inst235.html</w:t>
      </w:r>
    </w:p>
    <w:p w14:paraId="41A89A15"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FA0F67">
        <w:rPr>
          <w:rFonts w:ascii="Times New Roman" w:hAnsi="Times New Roman" w:cs="Times New Roman"/>
          <w:i/>
          <w:sz w:val="24"/>
          <w:szCs w:val="24"/>
        </w:rPr>
        <w:t>Lei n. 6.385, de 7 de dezembro de 1976</w:t>
      </w:r>
      <w:r w:rsidRPr="00141C43">
        <w:rPr>
          <w:rFonts w:ascii="Times New Roman" w:hAnsi="Times New Roman" w:cs="Times New Roman"/>
          <w:sz w:val="24"/>
          <w:szCs w:val="24"/>
        </w:rPr>
        <w:t xml:space="preserve">. Dispõe sobre o mercado de valores mobiliários e cria a Comissão de Valores Mobiliários. Recuperado de http://www.planalto.gov.br/ccivil_03/leis/L6385.htm </w:t>
      </w:r>
    </w:p>
    <w:p w14:paraId="7C2BE9AC"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357A1C">
        <w:rPr>
          <w:rFonts w:ascii="Times New Roman" w:hAnsi="Times New Roman" w:cs="Times New Roman"/>
          <w:i/>
          <w:sz w:val="24"/>
          <w:szCs w:val="24"/>
        </w:rPr>
        <w:t>Lei n. 6.404, de 15 de dezembro de 1976</w:t>
      </w:r>
      <w:r w:rsidRPr="00141C43">
        <w:rPr>
          <w:rFonts w:ascii="Times New Roman" w:hAnsi="Times New Roman" w:cs="Times New Roman"/>
          <w:sz w:val="24"/>
          <w:szCs w:val="24"/>
        </w:rPr>
        <w:t>. Dis</w:t>
      </w:r>
      <w:r>
        <w:rPr>
          <w:rFonts w:ascii="Times New Roman" w:hAnsi="Times New Roman" w:cs="Times New Roman"/>
          <w:sz w:val="24"/>
          <w:szCs w:val="24"/>
        </w:rPr>
        <w:t>põe sobre a Sociedade por Ações.</w:t>
      </w:r>
      <w:r w:rsidRPr="00141C43">
        <w:rPr>
          <w:rFonts w:ascii="Times New Roman" w:hAnsi="Times New Roman" w:cs="Times New Roman"/>
          <w:sz w:val="24"/>
          <w:szCs w:val="24"/>
        </w:rPr>
        <w:t xml:space="preserve"> Recuperado de http://www.planalto.gov.br/cc</w:t>
      </w:r>
      <w:r>
        <w:rPr>
          <w:rFonts w:ascii="Times New Roman" w:hAnsi="Times New Roman" w:cs="Times New Roman"/>
          <w:sz w:val="24"/>
          <w:szCs w:val="24"/>
        </w:rPr>
        <w:t>ivil_03/leis/L6404compilada.htm</w:t>
      </w:r>
    </w:p>
    <w:p w14:paraId="28579E88"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357A1C">
        <w:rPr>
          <w:rFonts w:ascii="Times New Roman" w:hAnsi="Times New Roman" w:cs="Times New Roman"/>
          <w:i/>
          <w:sz w:val="24"/>
          <w:szCs w:val="24"/>
        </w:rPr>
        <w:t>Lei n. 11.638, de 28 de dezembro de 2007</w:t>
      </w:r>
      <w:r w:rsidRPr="00141C43">
        <w:rPr>
          <w:rFonts w:ascii="Times New Roman" w:hAnsi="Times New Roman" w:cs="Times New Roman"/>
          <w:sz w:val="24"/>
          <w:szCs w:val="24"/>
        </w:rPr>
        <w:t xml:space="preserve">. Altera e revoga dispositivos da Lei n. 6.404, de 15 de dezembro de 1976, e de Lei n. 6.385 de 7 de dezembro de 1976, e estende às sociedades de grande porte disposições relativas a elaboração e divulgação de demonstrações financeiras. Recuperado de </w:t>
      </w:r>
      <w:r w:rsidRPr="00E4167A">
        <w:rPr>
          <w:rFonts w:ascii="Times New Roman" w:hAnsi="Times New Roman" w:cs="Times New Roman"/>
          <w:sz w:val="24"/>
          <w:szCs w:val="24"/>
        </w:rPr>
        <w:t>http://www.planalto.gov.br/ccivil_03/_ato2007-2010/2007/lei/l11638.htm</w:t>
      </w:r>
    </w:p>
    <w:p w14:paraId="2B73FF2C"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141C43">
        <w:rPr>
          <w:rFonts w:ascii="Times New Roman" w:hAnsi="Times New Roman" w:cs="Times New Roman"/>
          <w:color w:val="222222"/>
          <w:sz w:val="24"/>
          <w:szCs w:val="24"/>
          <w:shd w:val="clear" w:color="auto" w:fill="FFFFFF"/>
        </w:rPr>
        <w:t>Mattos</w:t>
      </w:r>
      <w:r>
        <w:rPr>
          <w:rFonts w:ascii="Times New Roman" w:hAnsi="Times New Roman" w:cs="Times New Roman"/>
          <w:color w:val="222222"/>
          <w:sz w:val="24"/>
          <w:szCs w:val="24"/>
          <w:shd w:val="clear" w:color="auto" w:fill="FFFFFF"/>
        </w:rPr>
        <w:t>, A. O., Filho,</w:t>
      </w:r>
      <w:r w:rsidRPr="00141C43">
        <w:rPr>
          <w:rFonts w:ascii="Times New Roman" w:hAnsi="Times New Roman" w:cs="Times New Roman"/>
          <w:color w:val="222222"/>
          <w:sz w:val="24"/>
          <w:szCs w:val="24"/>
          <w:shd w:val="clear" w:color="auto" w:fill="FFFFFF"/>
        </w:rPr>
        <w:t xml:space="preserve"> (1985) O conceito de valor mobiliário.</w:t>
      </w:r>
      <w:r w:rsidRPr="00141C43">
        <w:rPr>
          <w:rStyle w:val="apple-converted-space"/>
          <w:rFonts w:ascii="Times New Roman" w:hAnsi="Times New Roman" w:cs="Times New Roman"/>
          <w:color w:val="222222"/>
          <w:sz w:val="24"/>
          <w:szCs w:val="24"/>
          <w:shd w:val="clear" w:color="auto" w:fill="FFFFFF"/>
        </w:rPr>
        <w:t> </w:t>
      </w:r>
      <w:r w:rsidRPr="00801DEC">
        <w:rPr>
          <w:rFonts w:ascii="Times New Roman" w:hAnsi="Times New Roman" w:cs="Times New Roman"/>
          <w:i/>
          <w:iCs/>
          <w:color w:val="222222"/>
          <w:sz w:val="24"/>
          <w:szCs w:val="24"/>
          <w:shd w:val="clear" w:color="auto" w:fill="FFFFFF"/>
        </w:rPr>
        <w:t>Revista de Administração de Empresas</w:t>
      </w:r>
      <w:r w:rsidRPr="00141C43">
        <w:rPr>
          <w:rFonts w:ascii="Times New Roman" w:hAnsi="Times New Roman" w:cs="Times New Roman"/>
          <w:color w:val="222222"/>
          <w:sz w:val="24"/>
          <w:szCs w:val="24"/>
          <w:shd w:val="clear" w:color="auto" w:fill="FFFFFF"/>
        </w:rPr>
        <w:t>,</w:t>
      </w:r>
      <w:r w:rsidRPr="00141C43">
        <w:rPr>
          <w:rStyle w:val="apple-converted-space"/>
          <w:rFonts w:ascii="Times New Roman" w:hAnsi="Times New Roman" w:cs="Times New Roman"/>
          <w:color w:val="222222"/>
          <w:sz w:val="24"/>
          <w:szCs w:val="24"/>
          <w:shd w:val="clear" w:color="auto" w:fill="FFFFFF"/>
        </w:rPr>
        <w:t> </w:t>
      </w:r>
      <w:r w:rsidRPr="00AA0B02">
        <w:rPr>
          <w:rFonts w:ascii="Times New Roman" w:hAnsi="Times New Roman" w:cs="Times New Roman"/>
          <w:i/>
          <w:iCs/>
          <w:color w:val="222222"/>
          <w:sz w:val="24"/>
          <w:szCs w:val="24"/>
          <w:shd w:val="clear" w:color="auto" w:fill="FFFFFF"/>
        </w:rPr>
        <w:t>25</w:t>
      </w:r>
      <w:r w:rsidRPr="00141C43">
        <w:rPr>
          <w:rFonts w:ascii="Times New Roman" w:hAnsi="Times New Roman" w:cs="Times New Roman"/>
          <w:color w:val="222222"/>
          <w:sz w:val="24"/>
          <w:szCs w:val="24"/>
          <w:shd w:val="clear" w:color="auto" w:fill="FFFFFF"/>
        </w:rPr>
        <w:t>(2), 37-51.</w:t>
      </w:r>
    </w:p>
    <w:p w14:paraId="6FDC1E34" w14:textId="77777777" w:rsidR="00CF770A" w:rsidRPr="00141C43" w:rsidRDefault="00CF770A" w:rsidP="00CF770A">
      <w:pPr>
        <w:spacing w:after="240" w:line="240" w:lineRule="auto"/>
        <w:ind w:left="426" w:hanging="426"/>
        <w:jc w:val="both"/>
        <w:rPr>
          <w:rFonts w:ascii="Times New Roman" w:hAnsi="Times New Roman" w:cs="Times New Roman"/>
          <w:sz w:val="24"/>
          <w:szCs w:val="24"/>
        </w:rPr>
      </w:pPr>
      <w:r w:rsidRPr="00801DEC">
        <w:rPr>
          <w:rFonts w:ascii="Times New Roman" w:hAnsi="Times New Roman" w:cs="Times New Roman"/>
          <w:i/>
          <w:sz w:val="24"/>
          <w:szCs w:val="24"/>
        </w:rPr>
        <w:t>Pronunciamento técnico</w:t>
      </w:r>
      <w:r>
        <w:rPr>
          <w:rFonts w:ascii="Times New Roman" w:hAnsi="Times New Roman" w:cs="Times New Roman"/>
          <w:i/>
          <w:sz w:val="24"/>
          <w:szCs w:val="24"/>
        </w:rPr>
        <w:t xml:space="preserve"> </w:t>
      </w:r>
      <w:r w:rsidRPr="00801DEC">
        <w:rPr>
          <w:rFonts w:ascii="Times New Roman" w:hAnsi="Times New Roman" w:cs="Times New Roman"/>
          <w:i/>
          <w:sz w:val="24"/>
          <w:szCs w:val="24"/>
        </w:rPr>
        <w:t>CPC-38</w:t>
      </w:r>
      <w:r>
        <w:rPr>
          <w:rFonts w:ascii="Times New Roman" w:hAnsi="Times New Roman" w:cs="Times New Roman"/>
          <w:i/>
          <w:sz w:val="24"/>
          <w:szCs w:val="24"/>
        </w:rPr>
        <w:t>, de 02 de outubro de 2009</w:t>
      </w:r>
      <w:r w:rsidRPr="00141C43">
        <w:rPr>
          <w:rFonts w:ascii="Times New Roman" w:hAnsi="Times New Roman" w:cs="Times New Roman"/>
          <w:sz w:val="24"/>
          <w:szCs w:val="24"/>
        </w:rPr>
        <w:t xml:space="preserve">. Instrumentos </w:t>
      </w:r>
      <w:r>
        <w:rPr>
          <w:rFonts w:ascii="Times New Roman" w:hAnsi="Times New Roman" w:cs="Times New Roman"/>
          <w:sz w:val="24"/>
          <w:szCs w:val="24"/>
        </w:rPr>
        <w:t>financeiros: Reconhecimento e mensuração.</w:t>
      </w:r>
      <w:r w:rsidRPr="00141C43">
        <w:rPr>
          <w:rFonts w:ascii="Times New Roman" w:hAnsi="Times New Roman" w:cs="Times New Roman"/>
          <w:sz w:val="24"/>
          <w:szCs w:val="24"/>
        </w:rPr>
        <w:t xml:space="preserve"> Recuperado de http://static.cpc.mediagroup.com.br/Documentos/</w:t>
      </w:r>
      <w:r>
        <w:rPr>
          <w:rFonts w:ascii="Times New Roman" w:hAnsi="Times New Roman" w:cs="Times New Roman"/>
          <w:sz w:val="24"/>
          <w:szCs w:val="24"/>
        </w:rPr>
        <w:t>406_CPC_38_rev%2006.pdf</w:t>
      </w:r>
    </w:p>
    <w:p w14:paraId="036EA3EF" w14:textId="77777777" w:rsidR="00CF770A" w:rsidRPr="00194EAD" w:rsidRDefault="00CF770A" w:rsidP="00CF770A">
      <w:pPr>
        <w:spacing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Saraiva, H. I. B.,</w:t>
      </w:r>
      <w:r w:rsidRPr="00141C43">
        <w:rPr>
          <w:rFonts w:ascii="Times New Roman" w:hAnsi="Times New Roman" w:cs="Times New Roman"/>
          <w:sz w:val="24"/>
          <w:szCs w:val="24"/>
        </w:rPr>
        <w:t xml:space="preserve"> Alves, </w:t>
      </w:r>
      <w:r>
        <w:rPr>
          <w:rFonts w:ascii="Times New Roman" w:hAnsi="Times New Roman" w:cs="Times New Roman"/>
          <w:sz w:val="24"/>
          <w:szCs w:val="24"/>
        </w:rPr>
        <w:t>M. C. G.,</w:t>
      </w:r>
      <w:r w:rsidRPr="00141C43">
        <w:rPr>
          <w:rFonts w:ascii="Times New Roman" w:hAnsi="Times New Roman" w:cs="Times New Roman"/>
          <w:sz w:val="24"/>
          <w:szCs w:val="24"/>
        </w:rPr>
        <w:t xml:space="preserve"> </w:t>
      </w:r>
      <w:r>
        <w:rPr>
          <w:rFonts w:ascii="Times New Roman" w:hAnsi="Times New Roman" w:cs="Times New Roman"/>
          <w:sz w:val="24"/>
          <w:szCs w:val="24"/>
        </w:rPr>
        <w:t>&amp; Gabriel, V. M. S. (2015).</w:t>
      </w:r>
      <w:r w:rsidRPr="00141C43">
        <w:rPr>
          <w:rFonts w:ascii="Times New Roman" w:hAnsi="Times New Roman" w:cs="Times New Roman"/>
          <w:sz w:val="24"/>
          <w:szCs w:val="24"/>
        </w:rPr>
        <w:t xml:space="preserve"> As raízes do processo formal de harmonização contabilística, a sua evolução e influência em Portugal</w:t>
      </w:r>
      <w:r>
        <w:rPr>
          <w:rFonts w:ascii="Times New Roman" w:hAnsi="Times New Roman" w:cs="Times New Roman"/>
          <w:sz w:val="24"/>
          <w:szCs w:val="24"/>
        </w:rPr>
        <w:t xml:space="preserve">. </w:t>
      </w:r>
      <w:r w:rsidRPr="00194EAD">
        <w:rPr>
          <w:rFonts w:ascii="Times New Roman" w:hAnsi="Times New Roman" w:cs="Times New Roman"/>
          <w:i/>
          <w:sz w:val="24"/>
          <w:szCs w:val="24"/>
        </w:rPr>
        <w:t xml:space="preserve">De </w:t>
      </w:r>
      <w:proofErr w:type="spellStart"/>
      <w:r w:rsidRPr="00194EAD">
        <w:rPr>
          <w:rFonts w:ascii="Times New Roman" w:hAnsi="Times New Roman" w:cs="Times New Roman"/>
          <w:i/>
          <w:sz w:val="24"/>
          <w:szCs w:val="24"/>
        </w:rPr>
        <w:t>Computis</w:t>
      </w:r>
      <w:proofErr w:type="spellEnd"/>
      <w:r>
        <w:rPr>
          <w:rFonts w:ascii="Times New Roman" w:hAnsi="Times New Roman" w:cs="Times New Roman"/>
          <w:sz w:val="24"/>
          <w:szCs w:val="24"/>
        </w:rPr>
        <w:t xml:space="preserve"> -</w:t>
      </w:r>
      <w:r w:rsidRPr="00141C43">
        <w:rPr>
          <w:rFonts w:ascii="Times New Roman" w:hAnsi="Times New Roman" w:cs="Times New Roman"/>
          <w:sz w:val="24"/>
          <w:szCs w:val="24"/>
        </w:rPr>
        <w:t xml:space="preserve"> </w:t>
      </w:r>
      <w:r w:rsidRPr="00801DEC">
        <w:rPr>
          <w:rFonts w:ascii="Times New Roman" w:hAnsi="Times New Roman" w:cs="Times New Roman"/>
          <w:i/>
          <w:sz w:val="24"/>
          <w:szCs w:val="24"/>
        </w:rPr>
        <w:t xml:space="preserve">Revista </w:t>
      </w:r>
      <w:proofErr w:type="spellStart"/>
      <w:r w:rsidRPr="00801DEC">
        <w:rPr>
          <w:rFonts w:ascii="Times New Roman" w:hAnsi="Times New Roman" w:cs="Times New Roman"/>
          <w:i/>
          <w:sz w:val="24"/>
          <w:szCs w:val="24"/>
        </w:rPr>
        <w:t>Española</w:t>
      </w:r>
      <w:proofErr w:type="spellEnd"/>
      <w:r w:rsidRPr="00801DEC">
        <w:rPr>
          <w:rFonts w:ascii="Times New Roman" w:hAnsi="Times New Roman" w:cs="Times New Roman"/>
          <w:i/>
          <w:sz w:val="24"/>
          <w:szCs w:val="24"/>
        </w:rPr>
        <w:t xml:space="preserve"> de </w:t>
      </w:r>
      <w:proofErr w:type="spellStart"/>
      <w:r w:rsidRPr="00801DEC">
        <w:rPr>
          <w:rFonts w:ascii="Times New Roman" w:hAnsi="Times New Roman" w:cs="Times New Roman"/>
          <w:i/>
          <w:sz w:val="24"/>
          <w:szCs w:val="24"/>
        </w:rPr>
        <w:t>Historia</w:t>
      </w:r>
      <w:proofErr w:type="spellEnd"/>
      <w:r w:rsidRPr="00801DEC">
        <w:rPr>
          <w:rFonts w:ascii="Times New Roman" w:hAnsi="Times New Roman" w:cs="Times New Roman"/>
          <w:i/>
          <w:sz w:val="24"/>
          <w:szCs w:val="24"/>
        </w:rPr>
        <w:t xml:space="preserve"> de </w:t>
      </w:r>
      <w:proofErr w:type="spellStart"/>
      <w:r w:rsidRPr="00801DEC">
        <w:rPr>
          <w:rFonts w:ascii="Times New Roman" w:hAnsi="Times New Roman" w:cs="Times New Roman"/>
          <w:i/>
          <w:sz w:val="24"/>
          <w:szCs w:val="24"/>
        </w:rPr>
        <w:t>la</w:t>
      </w:r>
      <w:proofErr w:type="spellEnd"/>
      <w:r w:rsidRPr="00801DEC">
        <w:rPr>
          <w:rFonts w:ascii="Times New Roman" w:hAnsi="Times New Roman" w:cs="Times New Roman"/>
          <w:i/>
          <w:sz w:val="24"/>
          <w:szCs w:val="24"/>
        </w:rPr>
        <w:t xml:space="preserve"> </w:t>
      </w:r>
      <w:proofErr w:type="spellStart"/>
      <w:r w:rsidRPr="00801DEC">
        <w:rPr>
          <w:rFonts w:ascii="Times New Roman" w:hAnsi="Times New Roman" w:cs="Times New Roman"/>
          <w:i/>
          <w:sz w:val="24"/>
          <w:szCs w:val="24"/>
        </w:rPr>
        <w:t>Contabilidad</w:t>
      </w:r>
      <w:proofErr w:type="spellEnd"/>
      <w:r>
        <w:rPr>
          <w:rFonts w:ascii="Times New Roman" w:hAnsi="Times New Roman" w:cs="Times New Roman"/>
          <w:sz w:val="24"/>
          <w:szCs w:val="24"/>
        </w:rPr>
        <w:t xml:space="preserve">, </w:t>
      </w:r>
      <w:r>
        <w:rPr>
          <w:rFonts w:ascii="Times New Roman" w:hAnsi="Times New Roman" w:cs="Times New Roman"/>
          <w:i/>
          <w:sz w:val="24"/>
          <w:szCs w:val="24"/>
        </w:rPr>
        <w:t>12</w:t>
      </w:r>
      <w:r w:rsidRPr="00E628B2">
        <w:rPr>
          <w:rFonts w:ascii="Times New Roman" w:hAnsi="Times New Roman" w:cs="Times New Roman"/>
          <w:sz w:val="24"/>
          <w:szCs w:val="24"/>
        </w:rPr>
        <w:t>(</w:t>
      </w:r>
      <w:r>
        <w:rPr>
          <w:rFonts w:ascii="Times New Roman" w:hAnsi="Times New Roman" w:cs="Times New Roman"/>
          <w:sz w:val="24"/>
          <w:szCs w:val="24"/>
        </w:rPr>
        <w:t>22), 172-204.</w:t>
      </w:r>
    </w:p>
    <w:p w14:paraId="6FB59696" w14:textId="77777777" w:rsidR="00CF770A" w:rsidRPr="00141C43" w:rsidRDefault="00CF770A" w:rsidP="00CF770A">
      <w:pPr>
        <w:spacing w:after="240" w:line="240" w:lineRule="auto"/>
        <w:ind w:left="426" w:hanging="426"/>
        <w:jc w:val="both"/>
        <w:rPr>
          <w:rFonts w:ascii="Times New Roman" w:hAnsi="Times New Roman" w:cs="Times New Roman"/>
          <w:sz w:val="24"/>
          <w:szCs w:val="24"/>
          <w:lang w:val="en-US"/>
        </w:rPr>
      </w:pPr>
      <w:r w:rsidRPr="00357A1C">
        <w:rPr>
          <w:rFonts w:ascii="Times New Roman" w:hAnsi="Times New Roman" w:cs="Times New Roman"/>
          <w:i/>
          <w:sz w:val="24"/>
          <w:szCs w:val="24"/>
          <w:lang w:val="en-US"/>
        </w:rPr>
        <w:t>Statement of Financial Accounting Standards SFAS</w:t>
      </w:r>
      <w:r>
        <w:rPr>
          <w:rFonts w:ascii="Times New Roman" w:hAnsi="Times New Roman" w:cs="Times New Roman"/>
          <w:i/>
          <w:sz w:val="24"/>
          <w:szCs w:val="24"/>
          <w:lang w:val="en-US"/>
        </w:rPr>
        <w:t xml:space="preserve"> n.</w:t>
      </w:r>
      <w:r w:rsidRPr="00357A1C">
        <w:rPr>
          <w:rFonts w:ascii="Times New Roman" w:hAnsi="Times New Roman" w:cs="Times New Roman"/>
          <w:i/>
          <w:sz w:val="24"/>
          <w:szCs w:val="24"/>
          <w:lang w:val="en-US"/>
        </w:rPr>
        <w:t xml:space="preserve"> 107, </w:t>
      </w:r>
      <w:r>
        <w:rPr>
          <w:rFonts w:ascii="Times New Roman" w:hAnsi="Times New Roman" w:cs="Times New Roman"/>
          <w:i/>
          <w:sz w:val="24"/>
          <w:szCs w:val="24"/>
          <w:lang w:val="en-US"/>
        </w:rPr>
        <w:t>December</w:t>
      </w:r>
      <w:r w:rsidRPr="00357A1C">
        <w:rPr>
          <w:rFonts w:ascii="Times New Roman" w:hAnsi="Times New Roman" w:cs="Times New Roman"/>
          <w:i/>
          <w:sz w:val="24"/>
          <w:szCs w:val="24"/>
          <w:lang w:val="en-US"/>
        </w:rPr>
        <w:t xml:space="preserve"> 1991</w:t>
      </w:r>
      <w:r>
        <w:rPr>
          <w:rFonts w:ascii="Times New Roman" w:hAnsi="Times New Roman" w:cs="Times New Roman"/>
          <w:sz w:val="24"/>
          <w:szCs w:val="24"/>
          <w:lang w:val="en-US"/>
        </w:rPr>
        <w:t>.</w:t>
      </w:r>
      <w:r w:rsidRPr="00141C43">
        <w:rPr>
          <w:rFonts w:ascii="Times New Roman" w:hAnsi="Times New Roman" w:cs="Times New Roman"/>
          <w:sz w:val="24"/>
          <w:szCs w:val="24"/>
          <w:lang w:val="en-US"/>
        </w:rPr>
        <w:t xml:space="preserve"> Disclosures about fair value of financial instruments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Recuperado</w:t>
      </w:r>
      <w:proofErr w:type="spellEnd"/>
      <w:r>
        <w:rPr>
          <w:rFonts w:ascii="Times New Roman" w:hAnsi="Times New Roman" w:cs="Times New Roman"/>
          <w:sz w:val="24"/>
          <w:szCs w:val="24"/>
          <w:lang w:val="en-US"/>
        </w:rPr>
        <w:t xml:space="preserve"> de</w:t>
      </w:r>
      <w:r w:rsidRPr="00141C43">
        <w:rPr>
          <w:rFonts w:ascii="Times New Roman" w:hAnsi="Times New Roman" w:cs="Times New Roman"/>
          <w:sz w:val="24"/>
          <w:szCs w:val="24"/>
          <w:lang w:val="en-US"/>
        </w:rPr>
        <w:t xml:space="preserve"> </w:t>
      </w:r>
      <w:hyperlink r:id="rId12" w:history="1">
        <w:r w:rsidRPr="00CF77A7">
          <w:rPr>
            <w:rStyle w:val="Hyperlink"/>
            <w:rFonts w:ascii="Times New Roman" w:hAnsi="Times New Roman" w:cs="Times New Roman"/>
            <w:color w:val="auto"/>
            <w:sz w:val="24"/>
            <w:szCs w:val="24"/>
            <w:u w:val="none"/>
            <w:lang w:val="en-US"/>
          </w:rPr>
          <w:t>http://www.fasb.org/jsp/FASB/Document_C/DocumentPage?cid=1218220123701&amp;acceptedDisclaimer=true</w:t>
        </w:r>
      </w:hyperlink>
    </w:p>
    <w:p w14:paraId="245EE60A" w14:textId="77777777" w:rsidR="00CF770A" w:rsidRPr="00CF77A7" w:rsidRDefault="00CF770A" w:rsidP="00CF770A">
      <w:pPr>
        <w:spacing w:after="240" w:line="240" w:lineRule="auto"/>
        <w:ind w:left="426" w:hanging="426"/>
        <w:jc w:val="both"/>
        <w:rPr>
          <w:rFonts w:ascii="Times New Roman" w:hAnsi="Times New Roman" w:cs="Times New Roman"/>
          <w:sz w:val="24"/>
          <w:szCs w:val="24"/>
        </w:rPr>
      </w:pPr>
      <w:r w:rsidRPr="00357A1C">
        <w:rPr>
          <w:rFonts w:ascii="Times New Roman" w:hAnsi="Times New Roman" w:cs="Times New Roman"/>
          <w:i/>
          <w:sz w:val="24"/>
          <w:szCs w:val="24"/>
          <w:lang w:val="en-US"/>
        </w:rPr>
        <w:t>Statement of Financial Accounting Standards SFAS n</w:t>
      </w:r>
      <w:r>
        <w:rPr>
          <w:rFonts w:ascii="Times New Roman" w:hAnsi="Times New Roman" w:cs="Times New Roman"/>
          <w:i/>
          <w:sz w:val="24"/>
          <w:szCs w:val="24"/>
          <w:lang w:val="en-US"/>
        </w:rPr>
        <w:t>.</w:t>
      </w:r>
      <w:r w:rsidRPr="00357A1C">
        <w:rPr>
          <w:rFonts w:ascii="Times New Roman" w:hAnsi="Times New Roman" w:cs="Times New Roman"/>
          <w:i/>
          <w:sz w:val="24"/>
          <w:szCs w:val="24"/>
          <w:lang w:val="en-US"/>
        </w:rPr>
        <w:t xml:space="preserve"> 115</w:t>
      </w:r>
      <w:r w:rsidRPr="00B91171">
        <w:rPr>
          <w:rFonts w:ascii="Times New Roman" w:hAnsi="Times New Roman" w:cs="Times New Roman"/>
          <w:i/>
          <w:sz w:val="24"/>
          <w:szCs w:val="24"/>
          <w:lang w:val="en-US"/>
        </w:rPr>
        <w:t xml:space="preserve">, May </w:t>
      </w:r>
      <w:r w:rsidRPr="00357A1C">
        <w:rPr>
          <w:rFonts w:ascii="Times New Roman" w:hAnsi="Times New Roman" w:cs="Times New Roman"/>
          <w:i/>
          <w:sz w:val="24"/>
          <w:szCs w:val="24"/>
          <w:lang w:val="en-US"/>
        </w:rPr>
        <w:t>1993</w:t>
      </w:r>
      <w:r>
        <w:rPr>
          <w:rFonts w:ascii="Times New Roman" w:hAnsi="Times New Roman" w:cs="Times New Roman"/>
          <w:sz w:val="24"/>
          <w:szCs w:val="24"/>
          <w:lang w:val="en-US"/>
        </w:rPr>
        <w:t>.</w:t>
      </w:r>
      <w:r w:rsidRPr="00141C43">
        <w:rPr>
          <w:rFonts w:ascii="Times New Roman" w:hAnsi="Times New Roman" w:cs="Times New Roman"/>
          <w:sz w:val="24"/>
          <w:szCs w:val="24"/>
          <w:lang w:val="en-US"/>
        </w:rPr>
        <w:t xml:space="preserve"> Accounting for certain investments in debt and equity securities</w:t>
      </w:r>
      <w:r>
        <w:rPr>
          <w:rFonts w:ascii="Times New Roman" w:hAnsi="Times New Roman" w:cs="Times New Roman"/>
          <w:sz w:val="24"/>
          <w:szCs w:val="24"/>
          <w:lang w:val="en-US"/>
        </w:rPr>
        <w:t xml:space="preserve">. </w:t>
      </w:r>
      <w:r w:rsidRPr="00CF77A7">
        <w:rPr>
          <w:rFonts w:ascii="Times New Roman" w:hAnsi="Times New Roman" w:cs="Times New Roman"/>
          <w:sz w:val="24"/>
          <w:szCs w:val="24"/>
        </w:rPr>
        <w:t>Recuperado de http://www.fasb.org/jsp/FASB/Document_C/DocumentPage?cid=1218220123971&amp;acceptedDisclaimer=true</w:t>
      </w:r>
    </w:p>
    <w:p w14:paraId="67ABD6B0" w14:textId="77777777" w:rsidR="00CF770A" w:rsidRPr="00141C43" w:rsidRDefault="00CF770A" w:rsidP="00CF770A">
      <w:pPr>
        <w:spacing w:after="240" w:line="240" w:lineRule="auto"/>
        <w:ind w:left="426" w:hanging="426"/>
        <w:jc w:val="both"/>
        <w:rPr>
          <w:rFonts w:ascii="Times New Roman" w:hAnsi="Times New Roman" w:cs="Times New Roman"/>
          <w:sz w:val="24"/>
          <w:szCs w:val="24"/>
          <w:lang w:val="en-US"/>
        </w:rPr>
      </w:pPr>
      <w:r w:rsidRPr="003A6FA4">
        <w:rPr>
          <w:rFonts w:ascii="Times New Roman" w:hAnsi="Times New Roman" w:cs="Times New Roman"/>
          <w:i/>
          <w:sz w:val="24"/>
          <w:szCs w:val="24"/>
          <w:lang w:val="en-US"/>
        </w:rPr>
        <w:t xml:space="preserve">Statement of Financial Accounting </w:t>
      </w:r>
      <w:r w:rsidRPr="00B91171">
        <w:rPr>
          <w:rFonts w:ascii="Times New Roman" w:hAnsi="Times New Roman" w:cs="Times New Roman"/>
          <w:i/>
          <w:sz w:val="24"/>
          <w:szCs w:val="24"/>
          <w:lang w:val="en-US"/>
        </w:rPr>
        <w:t>Standards n. 133, Ju</w:t>
      </w:r>
      <w:r>
        <w:rPr>
          <w:rFonts w:ascii="Times New Roman" w:hAnsi="Times New Roman" w:cs="Times New Roman"/>
          <w:i/>
          <w:sz w:val="24"/>
          <w:szCs w:val="24"/>
          <w:lang w:val="en-US"/>
        </w:rPr>
        <w:t xml:space="preserve">ne </w:t>
      </w:r>
      <w:r w:rsidRPr="003A6FA4">
        <w:rPr>
          <w:rFonts w:ascii="Times New Roman" w:hAnsi="Times New Roman" w:cs="Times New Roman"/>
          <w:i/>
          <w:sz w:val="24"/>
          <w:szCs w:val="24"/>
          <w:lang w:val="en-US"/>
        </w:rPr>
        <w:t>1998</w:t>
      </w:r>
      <w:r>
        <w:rPr>
          <w:rFonts w:ascii="Times New Roman" w:hAnsi="Times New Roman" w:cs="Times New Roman"/>
          <w:sz w:val="24"/>
          <w:szCs w:val="24"/>
          <w:lang w:val="en-US"/>
        </w:rPr>
        <w:t>.</w:t>
      </w:r>
      <w:r w:rsidRPr="00141C43">
        <w:rPr>
          <w:rFonts w:ascii="Times New Roman" w:hAnsi="Times New Roman" w:cs="Times New Roman"/>
          <w:sz w:val="24"/>
          <w:szCs w:val="24"/>
          <w:lang w:val="en-US"/>
        </w:rPr>
        <w:t xml:space="preserve"> Accounting for Derivative Ins</w:t>
      </w:r>
      <w:r>
        <w:rPr>
          <w:rFonts w:ascii="Times New Roman" w:hAnsi="Times New Roman" w:cs="Times New Roman"/>
          <w:sz w:val="24"/>
          <w:szCs w:val="24"/>
          <w:lang w:val="en-US"/>
        </w:rPr>
        <w:t xml:space="preserve">truments and Hedging Activities. </w:t>
      </w:r>
      <w:proofErr w:type="spellStart"/>
      <w:r>
        <w:rPr>
          <w:rFonts w:ascii="Times New Roman" w:hAnsi="Times New Roman" w:cs="Times New Roman"/>
          <w:sz w:val="24"/>
          <w:szCs w:val="24"/>
          <w:lang w:val="en-US"/>
        </w:rPr>
        <w:t>Recuperado</w:t>
      </w:r>
      <w:proofErr w:type="spellEnd"/>
      <w:r>
        <w:rPr>
          <w:rFonts w:ascii="Times New Roman" w:hAnsi="Times New Roman" w:cs="Times New Roman"/>
          <w:sz w:val="24"/>
          <w:szCs w:val="24"/>
          <w:lang w:val="en-US"/>
        </w:rPr>
        <w:t xml:space="preserve"> de</w:t>
      </w:r>
      <w:r w:rsidRPr="00141C43">
        <w:rPr>
          <w:rFonts w:ascii="Times New Roman" w:hAnsi="Times New Roman" w:cs="Times New Roman"/>
          <w:sz w:val="24"/>
          <w:szCs w:val="24"/>
          <w:lang w:val="en-US"/>
        </w:rPr>
        <w:t xml:space="preserve"> </w:t>
      </w:r>
      <w:r w:rsidRPr="00CF77A7">
        <w:rPr>
          <w:rFonts w:ascii="Times New Roman" w:hAnsi="Times New Roman" w:cs="Times New Roman"/>
          <w:sz w:val="24"/>
          <w:szCs w:val="24"/>
          <w:lang w:val="en-US"/>
        </w:rPr>
        <w:t>http://www.fasb.org/jsp/FASB/Document_C/DocumentPage?cid=1218220124631&amp;acceptedDisclaimer=true</w:t>
      </w:r>
    </w:p>
    <w:p w14:paraId="385BF85F" w14:textId="77777777" w:rsidR="00CF770A" w:rsidRPr="00141C43" w:rsidRDefault="00CF770A" w:rsidP="00CF770A">
      <w:pPr>
        <w:spacing w:after="240" w:line="240" w:lineRule="auto"/>
        <w:ind w:left="426" w:hanging="426"/>
        <w:jc w:val="both"/>
        <w:rPr>
          <w:rFonts w:ascii="Times New Roman" w:hAnsi="Times New Roman" w:cs="Times New Roman"/>
          <w:sz w:val="24"/>
          <w:szCs w:val="24"/>
          <w:lang w:val="en-US"/>
        </w:rPr>
      </w:pPr>
      <w:r w:rsidRPr="003A6FA4">
        <w:rPr>
          <w:rFonts w:ascii="Times New Roman" w:hAnsi="Times New Roman" w:cs="Times New Roman"/>
          <w:i/>
          <w:sz w:val="24"/>
          <w:szCs w:val="24"/>
          <w:lang w:val="en-US"/>
        </w:rPr>
        <w:t xml:space="preserve">Statement of Financial Accounting </w:t>
      </w:r>
      <w:r w:rsidRPr="001C4BE6">
        <w:rPr>
          <w:rFonts w:ascii="Times New Roman" w:hAnsi="Times New Roman" w:cs="Times New Roman"/>
          <w:i/>
          <w:sz w:val="24"/>
          <w:szCs w:val="24"/>
          <w:lang w:val="en-US"/>
        </w:rPr>
        <w:t>Standards n. 159, February</w:t>
      </w:r>
      <w:r>
        <w:rPr>
          <w:rFonts w:ascii="Times New Roman" w:hAnsi="Times New Roman" w:cs="Times New Roman"/>
          <w:i/>
          <w:sz w:val="24"/>
          <w:szCs w:val="24"/>
          <w:lang w:val="en-US"/>
        </w:rPr>
        <w:t xml:space="preserve"> </w:t>
      </w:r>
      <w:r w:rsidRPr="003A6FA4">
        <w:rPr>
          <w:rFonts w:ascii="Times New Roman" w:hAnsi="Times New Roman" w:cs="Times New Roman"/>
          <w:i/>
          <w:sz w:val="24"/>
          <w:szCs w:val="24"/>
          <w:lang w:val="en-US"/>
        </w:rPr>
        <w:t>2007</w:t>
      </w:r>
      <w:r>
        <w:rPr>
          <w:rFonts w:ascii="Times New Roman" w:hAnsi="Times New Roman" w:cs="Times New Roman"/>
          <w:sz w:val="24"/>
          <w:szCs w:val="24"/>
          <w:lang w:val="en-US"/>
        </w:rPr>
        <w:t>.</w:t>
      </w:r>
      <w:r w:rsidRPr="00141C43">
        <w:rPr>
          <w:rFonts w:ascii="Times New Roman" w:hAnsi="Times New Roman" w:cs="Times New Roman"/>
          <w:sz w:val="24"/>
          <w:szCs w:val="24"/>
          <w:lang w:val="en-US"/>
        </w:rPr>
        <w:t xml:space="preserve"> The fair value option for financial assets and financial liabilities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Recuperado</w:t>
      </w:r>
      <w:proofErr w:type="spellEnd"/>
      <w:r>
        <w:rPr>
          <w:rFonts w:ascii="Times New Roman" w:hAnsi="Times New Roman" w:cs="Times New Roman"/>
          <w:sz w:val="24"/>
          <w:szCs w:val="24"/>
          <w:lang w:val="en-US"/>
        </w:rPr>
        <w:t xml:space="preserve"> de</w:t>
      </w:r>
      <w:r w:rsidRPr="00141C43">
        <w:rPr>
          <w:rFonts w:ascii="Times New Roman" w:hAnsi="Times New Roman" w:cs="Times New Roman"/>
          <w:sz w:val="24"/>
          <w:szCs w:val="24"/>
          <w:lang w:val="en-US"/>
        </w:rPr>
        <w:t xml:space="preserve"> </w:t>
      </w:r>
      <w:r w:rsidRPr="00CF77A7">
        <w:rPr>
          <w:rFonts w:ascii="Times New Roman" w:hAnsi="Times New Roman" w:cs="Times New Roman"/>
          <w:sz w:val="24"/>
          <w:szCs w:val="24"/>
          <w:lang w:val="en-US"/>
        </w:rPr>
        <w:t>http://www.fasb.org/pdf/aop_FAS159.pdf</w:t>
      </w:r>
    </w:p>
    <w:p w14:paraId="7107E672" w14:textId="1A3EA110" w:rsidR="00F076A5" w:rsidRPr="00235152" w:rsidRDefault="00F076A5" w:rsidP="00CF770A">
      <w:pPr>
        <w:spacing w:after="240" w:line="240" w:lineRule="auto"/>
        <w:ind w:left="426" w:hanging="425"/>
        <w:jc w:val="both"/>
        <w:rPr>
          <w:rFonts w:ascii="Times New Roman" w:hAnsi="Times New Roman" w:cs="Times New Roman"/>
          <w:sz w:val="24"/>
          <w:szCs w:val="24"/>
          <w:lang w:val="en-US"/>
        </w:rPr>
      </w:pPr>
    </w:p>
    <w:sectPr w:rsidR="00F076A5" w:rsidRPr="00235152" w:rsidSect="00A354F8">
      <w:headerReference w:type="default" r:id="rId13"/>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F4971" w14:textId="77777777" w:rsidR="00A812CB" w:rsidRDefault="00A812CB" w:rsidP="008B513A">
      <w:pPr>
        <w:spacing w:after="0" w:line="240" w:lineRule="auto"/>
      </w:pPr>
      <w:r>
        <w:separator/>
      </w:r>
    </w:p>
  </w:endnote>
  <w:endnote w:type="continuationSeparator" w:id="0">
    <w:p w14:paraId="51BA50A8" w14:textId="77777777" w:rsidR="00A812CB" w:rsidRDefault="00A812CB" w:rsidP="008B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D72E6" w14:textId="77777777" w:rsidR="00A812CB" w:rsidRDefault="00A812CB" w:rsidP="008B513A">
      <w:pPr>
        <w:spacing w:after="0" w:line="240" w:lineRule="auto"/>
      </w:pPr>
      <w:r>
        <w:separator/>
      </w:r>
    </w:p>
  </w:footnote>
  <w:footnote w:type="continuationSeparator" w:id="0">
    <w:p w14:paraId="4B6F6822" w14:textId="77777777" w:rsidR="00A812CB" w:rsidRDefault="00A812CB" w:rsidP="008B5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556361"/>
      <w:docPartObj>
        <w:docPartGallery w:val="Page Numbers (Top of Page)"/>
        <w:docPartUnique/>
      </w:docPartObj>
    </w:sdtPr>
    <w:sdtContent>
      <w:p w14:paraId="788BE0B8" w14:textId="070AB98B" w:rsidR="00A354F8" w:rsidRDefault="00A354F8">
        <w:pPr>
          <w:pStyle w:val="Cabealho"/>
          <w:jc w:val="right"/>
        </w:pPr>
        <w:r>
          <w:fldChar w:fldCharType="begin"/>
        </w:r>
        <w:r>
          <w:instrText>PAGE   \* MERGEFORMAT</w:instrText>
        </w:r>
        <w:r>
          <w:fldChar w:fldCharType="separate"/>
        </w:r>
        <w:r w:rsidR="00AF6804">
          <w:rPr>
            <w:noProof/>
          </w:rPr>
          <w:t>19</w:t>
        </w:r>
        <w:r>
          <w:fldChar w:fldCharType="end"/>
        </w:r>
      </w:p>
    </w:sdtContent>
  </w:sdt>
  <w:p w14:paraId="4A78F16B" w14:textId="77777777" w:rsidR="00A812CB" w:rsidRDefault="00A812C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623"/>
    <w:multiLevelType w:val="hybridMultilevel"/>
    <w:tmpl w:val="875E9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695826"/>
    <w:multiLevelType w:val="hybridMultilevel"/>
    <w:tmpl w:val="F692D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965131"/>
    <w:multiLevelType w:val="hybridMultilevel"/>
    <w:tmpl w:val="10A6F1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915A49"/>
    <w:multiLevelType w:val="hybridMultilevel"/>
    <w:tmpl w:val="600E56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EC052B"/>
    <w:multiLevelType w:val="hybridMultilevel"/>
    <w:tmpl w:val="433E1C96"/>
    <w:lvl w:ilvl="0" w:tplc="E774EC0C">
      <w:start w:val="1"/>
      <w:numFmt w:val="low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5" w15:restartNumberingAfterBreak="0">
    <w:nsid w:val="1B3612AE"/>
    <w:multiLevelType w:val="hybridMultilevel"/>
    <w:tmpl w:val="B22855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85153C"/>
    <w:multiLevelType w:val="hybridMultilevel"/>
    <w:tmpl w:val="3E7EEBBC"/>
    <w:lvl w:ilvl="0" w:tplc="0CBA7B5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8753C63"/>
    <w:multiLevelType w:val="hybridMultilevel"/>
    <w:tmpl w:val="E92833B6"/>
    <w:lvl w:ilvl="0" w:tplc="0416000F">
      <w:start w:val="1"/>
      <w:numFmt w:val="decimal"/>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8" w15:restartNumberingAfterBreak="0">
    <w:nsid w:val="2B9D7095"/>
    <w:multiLevelType w:val="hybridMultilevel"/>
    <w:tmpl w:val="626653A0"/>
    <w:lvl w:ilvl="0" w:tplc="7B306AA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196746"/>
    <w:multiLevelType w:val="hybridMultilevel"/>
    <w:tmpl w:val="D592F1C4"/>
    <w:lvl w:ilvl="0" w:tplc="7974E766">
      <w:start w:val="1"/>
      <w:numFmt w:val="upperRoman"/>
      <w:lvlText w:val="%1."/>
      <w:lvlJc w:val="left"/>
      <w:pPr>
        <w:ind w:left="2421" w:hanging="720"/>
      </w:pPr>
      <w:rPr>
        <w:rFonts w:hint="default"/>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31B228AF"/>
    <w:multiLevelType w:val="hybridMultilevel"/>
    <w:tmpl w:val="0CEE491E"/>
    <w:lvl w:ilvl="0" w:tplc="69BCC9B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B02837"/>
    <w:multiLevelType w:val="hybridMultilevel"/>
    <w:tmpl w:val="C088A57A"/>
    <w:lvl w:ilvl="0" w:tplc="E45632C2">
      <w:start w:val="1"/>
      <w:numFmt w:val="lowerRoman"/>
      <w:lvlText w:val="(%1)"/>
      <w:lvlJc w:val="left"/>
      <w:pPr>
        <w:ind w:left="1429" w:hanging="720"/>
      </w:pPr>
      <w:rPr>
        <w:rFonts w:eastAsiaTheme="minorEastAsia"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84B4F6F"/>
    <w:multiLevelType w:val="multilevel"/>
    <w:tmpl w:val="621AD7E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1AD49B8"/>
    <w:multiLevelType w:val="hybridMultilevel"/>
    <w:tmpl w:val="46860FD0"/>
    <w:lvl w:ilvl="0" w:tplc="861C4706">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960F6C"/>
    <w:multiLevelType w:val="hybridMultilevel"/>
    <w:tmpl w:val="A90CE66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48110036"/>
    <w:multiLevelType w:val="hybridMultilevel"/>
    <w:tmpl w:val="4280B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9B7C03"/>
    <w:multiLevelType w:val="hybridMultilevel"/>
    <w:tmpl w:val="049E7288"/>
    <w:lvl w:ilvl="0" w:tplc="454C0A22">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2B333C5"/>
    <w:multiLevelType w:val="multilevel"/>
    <w:tmpl w:val="8626FEF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9A35482"/>
    <w:multiLevelType w:val="hybridMultilevel"/>
    <w:tmpl w:val="962EE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9"/>
  </w:num>
  <w:num w:numId="5">
    <w:abstractNumId w:val="1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7"/>
  </w:num>
  <w:num w:numId="10">
    <w:abstractNumId w:val="8"/>
  </w:num>
  <w:num w:numId="11">
    <w:abstractNumId w:val="12"/>
  </w:num>
  <w:num w:numId="12">
    <w:abstractNumId w:val="4"/>
  </w:num>
  <w:num w:numId="13">
    <w:abstractNumId w:val="6"/>
  </w:num>
  <w:num w:numId="14">
    <w:abstractNumId w:val="11"/>
  </w:num>
  <w:num w:numId="15">
    <w:abstractNumId w:val="16"/>
  </w:num>
  <w:num w:numId="16">
    <w:abstractNumId w:val="14"/>
  </w:num>
  <w:num w:numId="17">
    <w:abstractNumId w:val="0"/>
  </w:num>
  <w:num w:numId="18">
    <w:abstractNumId w:val="18"/>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D7"/>
    <w:rsid w:val="00000AB2"/>
    <w:rsid w:val="000010AC"/>
    <w:rsid w:val="00006641"/>
    <w:rsid w:val="000077F4"/>
    <w:rsid w:val="00010224"/>
    <w:rsid w:val="00012C98"/>
    <w:rsid w:val="00013892"/>
    <w:rsid w:val="000145A7"/>
    <w:rsid w:val="000148F9"/>
    <w:rsid w:val="0001509E"/>
    <w:rsid w:val="00016F57"/>
    <w:rsid w:val="000207BB"/>
    <w:rsid w:val="00021603"/>
    <w:rsid w:val="000217F9"/>
    <w:rsid w:val="000221A9"/>
    <w:rsid w:val="00024101"/>
    <w:rsid w:val="00024A5C"/>
    <w:rsid w:val="00024F71"/>
    <w:rsid w:val="0002566D"/>
    <w:rsid w:val="00026F14"/>
    <w:rsid w:val="0003030A"/>
    <w:rsid w:val="00031380"/>
    <w:rsid w:val="000320F2"/>
    <w:rsid w:val="000332EA"/>
    <w:rsid w:val="00034F9F"/>
    <w:rsid w:val="000358D4"/>
    <w:rsid w:val="00035F63"/>
    <w:rsid w:val="000367B8"/>
    <w:rsid w:val="00037EEA"/>
    <w:rsid w:val="0004083B"/>
    <w:rsid w:val="00040BB4"/>
    <w:rsid w:val="00040F68"/>
    <w:rsid w:val="0004202E"/>
    <w:rsid w:val="00044D96"/>
    <w:rsid w:val="000455CE"/>
    <w:rsid w:val="00046537"/>
    <w:rsid w:val="00046A2F"/>
    <w:rsid w:val="000479D4"/>
    <w:rsid w:val="00047C96"/>
    <w:rsid w:val="00050D6F"/>
    <w:rsid w:val="0005175D"/>
    <w:rsid w:val="00052BB6"/>
    <w:rsid w:val="000538EF"/>
    <w:rsid w:val="00054A14"/>
    <w:rsid w:val="00055195"/>
    <w:rsid w:val="000559FB"/>
    <w:rsid w:val="00062028"/>
    <w:rsid w:val="00063283"/>
    <w:rsid w:val="00063962"/>
    <w:rsid w:val="0006594D"/>
    <w:rsid w:val="000728DD"/>
    <w:rsid w:val="00072A8F"/>
    <w:rsid w:val="00073826"/>
    <w:rsid w:val="00074B73"/>
    <w:rsid w:val="00080164"/>
    <w:rsid w:val="000852E6"/>
    <w:rsid w:val="0008555E"/>
    <w:rsid w:val="00091776"/>
    <w:rsid w:val="000921C3"/>
    <w:rsid w:val="00093791"/>
    <w:rsid w:val="00093DFC"/>
    <w:rsid w:val="00093F68"/>
    <w:rsid w:val="00094C6F"/>
    <w:rsid w:val="000957CC"/>
    <w:rsid w:val="000A0601"/>
    <w:rsid w:val="000A10CE"/>
    <w:rsid w:val="000A45EE"/>
    <w:rsid w:val="000A532C"/>
    <w:rsid w:val="000A5A14"/>
    <w:rsid w:val="000A69C7"/>
    <w:rsid w:val="000A6BC8"/>
    <w:rsid w:val="000A7DCE"/>
    <w:rsid w:val="000A7F1A"/>
    <w:rsid w:val="000B069D"/>
    <w:rsid w:val="000B1F5E"/>
    <w:rsid w:val="000B3735"/>
    <w:rsid w:val="000B4232"/>
    <w:rsid w:val="000B4256"/>
    <w:rsid w:val="000B49CB"/>
    <w:rsid w:val="000B4F5F"/>
    <w:rsid w:val="000B6ACD"/>
    <w:rsid w:val="000B7B39"/>
    <w:rsid w:val="000B7B4B"/>
    <w:rsid w:val="000B7CA6"/>
    <w:rsid w:val="000C0870"/>
    <w:rsid w:val="000C23EB"/>
    <w:rsid w:val="000C48F9"/>
    <w:rsid w:val="000D266A"/>
    <w:rsid w:val="000D2AE3"/>
    <w:rsid w:val="000D2E9D"/>
    <w:rsid w:val="000D364A"/>
    <w:rsid w:val="000D3F77"/>
    <w:rsid w:val="000D44FA"/>
    <w:rsid w:val="000E018F"/>
    <w:rsid w:val="000E1235"/>
    <w:rsid w:val="000E5684"/>
    <w:rsid w:val="000E7578"/>
    <w:rsid w:val="000F018D"/>
    <w:rsid w:val="000F2CB6"/>
    <w:rsid w:val="000F3BF6"/>
    <w:rsid w:val="000F4661"/>
    <w:rsid w:val="000F5065"/>
    <w:rsid w:val="000F536E"/>
    <w:rsid w:val="000F5B66"/>
    <w:rsid w:val="000F5E7F"/>
    <w:rsid w:val="00101C14"/>
    <w:rsid w:val="00102A50"/>
    <w:rsid w:val="00103548"/>
    <w:rsid w:val="00103F58"/>
    <w:rsid w:val="0010420C"/>
    <w:rsid w:val="00104E5B"/>
    <w:rsid w:val="00105953"/>
    <w:rsid w:val="00110364"/>
    <w:rsid w:val="00110887"/>
    <w:rsid w:val="001116AE"/>
    <w:rsid w:val="00111C4B"/>
    <w:rsid w:val="0011245D"/>
    <w:rsid w:val="001138BD"/>
    <w:rsid w:val="00114D6F"/>
    <w:rsid w:val="00114F39"/>
    <w:rsid w:val="00116CD9"/>
    <w:rsid w:val="00117130"/>
    <w:rsid w:val="00117420"/>
    <w:rsid w:val="00117DDF"/>
    <w:rsid w:val="0012193C"/>
    <w:rsid w:val="00121C2E"/>
    <w:rsid w:val="00123B1F"/>
    <w:rsid w:val="001264E6"/>
    <w:rsid w:val="001274B8"/>
    <w:rsid w:val="001320E6"/>
    <w:rsid w:val="0013386B"/>
    <w:rsid w:val="00135AEE"/>
    <w:rsid w:val="00136F51"/>
    <w:rsid w:val="00137B4B"/>
    <w:rsid w:val="00137BF4"/>
    <w:rsid w:val="00141C43"/>
    <w:rsid w:val="00143016"/>
    <w:rsid w:val="001431BD"/>
    <w:rsid w:val="00144ADF"/>
    <w:rsid w:val="00144EEF"/>
    <w:rsid w:val="00145A98"/>
    <w:rsid w:val="00146F20"/>
    <w:rsid w:val="00146F4C"/>
    <w:rsid w:val="00150950"/>
    <w:rsid w:val="00151346"/>
    <w:rsid w:val="00151633"/>
    <w:rsid w:val="0015240C"/>
    <w:rsid w:val="0015247F"/>
    <w:rsid w:val="00154F9E"/>
    <w:rsid w:val="001553FD"/>
    <w:rsid w:val="00160889"/>
    <w:rsid w:val="0016227A"/>
    <w:rsid w:val="00162D74"/>
    <w:rsid w:val="00163B30"/>
    <w:rsid w:val="0016403E"/>
    <w:rsid w:val="00167023"/>
    <w:rsid w:val="001735CC"/>
    <w:rsid w:val="00173887"/>
    <w:rsid w:val="001752CE"/>
    <w:rsid w:val="00176807"/>
    <w:rsid w:val="00176BE0"/>
    <w:rsid w:val="001804E6"/>
    <w:rsid w:val="00180C50"/>
    <w:rsid w:val="001826EA"/>
    <w:rsid w:val="00183DAA"/>
    <w:rsid w:val="0018460B"/>
    <w:rsid w:val="00186666"/>
    <w:rsid w:val="001907BE"/>
    <w:rsid w:val="00191160"/>
    <w:rsid w:val="00192505"/>
    <w:rsid w:val="00192F69"/>
    <w:rsid w:val="00192FED"/>
    <w:rsid w:val="001942B0"/>
    <w:rsid w:val="001945DB"/>
    <w:rsid w:val="0019552D"/>
    <w:rsid w:val="00196947"/>
    <w:rsid w:val="00196DD2"/>
    <w:rsid w:val="001A7AD4"/>
    <w:rsid w:val="001B008B"/>
    <w:rsid w:val="001B1A95"/>
    <w:rsid w:val="001B2AA1"/>
    <w:rsid w:val="001B2C29"/>
    <w:rsid w:val="001B2C64"/>
    <w:rsid w:val="001B3F33"/>
    <w:rsid w:val="001B4DFC"/>
    <w:rsid w:val="001B52D7"/>
    <w:rsid w:val="001B5569"/>
    <w:rsid w:val="001C162A"/>
    <w:rsid w:val="001C1D79"/>
    <w:rsid w:val="001C217F"/>
    <w:rsid w:val="001C29F5"/>
    <w:rsid w:val="001C3136"/>
    <w:rsid w:val="001C67EA"/>
    <w:rsid w:val="001D1DC9"/>
    <w:rsid w:val="001D1ECF"/>
    <w:rsid w:val="001D250B"/>
    <w:rsid w:val="001D479E"/>
    <w:rsid w:val="001D5888"/>
    <w:rsid w:val="001D5EC1"/>
    <w:rsid w:val="001D61FB"/>
    <w:rsid w:val="001D6B0B"/>
    <w:rsid w:val="001D6E76"/>
    <w:rsid w:val="001E112B"/>
    <w:rsid w:val="001E1290"/>
    <w:rsid w:val="001E2752"/>
    <w:rsid w:val="001E36A3"/>
    <w:rsid w:val="001E3B34"/>
    <w:rsid w:val="001E52EC"/>
    <w:rsid w:val="001E63D7"/>
    <w:rsid w:val="001E660D"/>
    <w:rsid w:val="001E6D2F"/>
    <w:rsid w:val="001E7687"/>
    <w:rsid w:val="001E7C4F"/>
    <w:rsid w:val="001F2BEA"/>
    <w:rsid w:val="001F392F"/>
    <w:rsid w:val="001F3DD7"/>
    <w:rsid w:val="001F4329"/>
    <w:rsid w:val="001F6DB8"/>
    <w:rsid w:val="001F71FA"/>
    <w:rsid w:val="002000A9"/>
    <w:rsid w:val="00200649"/>
    <w:rsid w:val="0020136C"/>
    <w:rsid w:val="00203181"/>
    <w:rsid w:val="00205E00"/>
    <w:rsid w:val="00206583"/>
    <w:rsid w:val="00206A54"/>
    <w:rsid w:val="0021031A"/>
    <w:rsid w:val="00211035"/>
    <w:rsid w:val="00214D70"/>
    <w:rsid w:val="00215B26"/>
    <w:rsid w:val="0021611F"/>
    <w:rsid w:val="00216215"/>
    <w:rsid w:val="00216D15"/>
    <w:rsid w:val="0021700E"/>
    <w:rsid w:val="0021795D"/>
    <w:rsid w:val="00222731"/>
    <w:rsid w:val="002270CD"/>
    <w:rsid w:val="00227AD6"/>
    <w:rsid w:val="00227CEA"/>
    <w:rsid w:val="00232203"/>
    <w:rsid w:val="0023362B"/>
    <w:rsid w:val="00235152"/>
    <w:rsid w:val="00235519"/>
    <w:rsid w:val="002415EC"/>
    <w:rsid w:val="00241B19"/>
    <w:rsid w:val="0024214A"/>
    <w:rsid w:val="002437FE"/>
    <w:rsid w:val="00243C12"/>
    <w:rsid w:val="00243F15"/>
    <w:rsid w:val="0024465A"/>
    <w:rsid w:val="00244B6A"/>
    <w:rsid w:val="00246315"/>
    <w:rsid w:val="00246E6E"/>
    <w:rsid w:val="00251C3E"/>
    <w:rsid w:val="00251E70"/>
    <w:rsid w:val="00255EDD"/>
    <w:rsid w:val="002646D2"/>
    <w:rsid w:val="0027167A"/>
    <w:rsid w:val="00271F32"/>
    <w:rsid w:val="002747FF"/>
    <w:rsid w:val="00274BD7"/>
    <w:rsid w:val="002804FB"/>
    <w:rsid w:val="0028133E"/>
    <w:rsid w:val="0028139A"/>
    <w:rsid w:val="0028186D"/>
    <w:rsid w:val="00281C95"/>
    <w:rsid w:val="00282C33"/>
    <w:rsid w:val="00282DE5"/>
    <w:rsid w:val="00283352"/>
    <w:rsid w:val="00284A00"/>
    <w:rsid w:val="00285D4B"/>
    <w:rsid w:val="00286D12"/>
    <w:rsid w:val="00287736"/>
    <w:rsid w:val="00287DBA"/>
    <w:rsid w:val="00287F1E"/>
    <w:rsid w:val="002904BF"/>
    <w:rsid w:val="00290B27"/>
    <w:rsid w:val="00291F63"/>
    <w:rsid w:val="002924B1"/>
    <w:rsid w:val="00292BC9"/>
    <w:rsid w:val="00295EC0"/>
    <w:rsid w:val="00296D04"/>
    <w:rsid w:val="002970AB"/>
    <w:rsid w:val="002979B3"/>
    <w:rsid w:val="002A037C"/>
    <w:rsid w:val="002A0531"/>
    <w:rsid w:val="002A2D45"/>
    <w:rsid w:val="002A3D6F"/>
    <w:rsid w:val="002A5F7F"/>
    <w:rsid w:val="002A6BFD"/>
    <w:rsid w:val="002B0F12"/>
    <w:rsid w:val="002B1E49"/>
    <w:rsid w:val="002B23BE"/>
    <w:rsid w:val="002B271D"/>
    <w:rsid w:val="002B425E"/>
    <w:rsid w:val="002B4E10"/>
    <w:rsid w:val="002B549D"/>
    <w:rsid w:val="002B6135"/>
    <w:rsid w:val="002B657E"/>
    <w:rsid w:val="002B6F4E"/>
    <w:rsid w:val="002C2424"/>
    <w:rsid w:val="002C3923"/>
    <w:rsid w:val="002C4754"/>
    <w:rsid w:val="002C4B93"/>
    <w:rsid w:val="002C5D4E"/>
    <w:rsid w:val="002C678F"/>
    <w:rsid w:val="002D1EAF"/>
    <w:rsid w:val="002D40B8"/>
    <w:rsid w:val="002D4C02"/>
    <w:rsid w:val="002D4E15"/>
    <w:rsid w:val="002D6264"/>
    <w:rsid w:val="002E1025"/>
    <w:rsid w:val="002E4EBE"/>
    <w:rsid w:val="002E726C"/>
    <w:rsid w:val="002F0601"/>
    <w:rsid w:val="002F28DB"/>
    <w:rsid w:val="002F3B29"/>
    <w:rsid w:val="002F3CC2"/>
    <w:rsid w:val="002F510C"/>
    <w:rsid w:val="002F60BE"/>
    <w:rsid w:val="002F663D"/>
    <w:rsid w:val="002F7C5B"/>
    <w:rsid w:val="00300271"/>
    <w:rsid w:val="00302BF6"/>
    <w:rsid w:val="00304422"/>
    <w:rsid w:val="00306027"/>
    <w:rsid w:val="0030660D"/>
    <w:rsid w:val="00307E77"/>
    <w:rsid w:val="0031226A"/>
    <w:rsid w:val="00312553"/>
    <w:rsid w:val="003133AC"/>
    <w:rsid w:val="003141EF"/>
    <w:rsid w:val="00316E40"/>
    <w:rsid w:val="00316F4D"/>
    <w:rsid w:val="00320048"/>
    <w:rsid w:val="00320069"/>
    <w:rsid w:val="0032192C"/>
    <w:rsid w:val="00321FE7"/>
    <w:rsid w:val="003233DC"/>
    <w:rsid w:val="003250CE"/>
    <w:rsid w:val="00325C43"/>
    <w:rsid w:val="00326296"/>
    <w:rsid w:val="003264C8"/>
    <w:rsid w:val="003268A7"/>
    <w:rsid w:val="003269F8"/>
    <w:rsid w:val="00327980"/>
    <w:rsid w:val="00331A87"/>
    <w:rsid w:val="00332C07"/>
    <w:rsid w:val="00332F46"/>
    <w:rsid w:val="00340BD0"/>
    <w:rsid w:val="0034249B"/>
    <w:rsid w:val="00351E02"/>
    <w:rsid w:val="00351EA9"/>
    <w:rsid w:val="003529B7"/>
    <w:rsid w:val="0035328C"/>
    <w:rsid w:val="0035402A"/>
    <w:rsid w:val="003543DD"/>
    <w:rsid w:val="003544CE"/>
    <w:rsid w:val="003563DF"/>
    <w:rsid w:val="00357A20"/>
    <w:rsid w:val="0036068E"/>
    <w:rsid w:val="00361C6C"/>
    <w:rsid w:val="00362A9F"/>
    <w:rsid w:val="003643B1"/>
    <w:rsid w:val="00365DEF"/>
    <w:rsid w:val="003679C8"/>
    <w:rsid w:val="00367F56"/>
    <w:rsid w:val="003704A7"/>
    <w:rsid w:val="0037174E"/>
    <w:rsid w:val="00373FB3"/>
    <w:rsid w:val="00374A71"/>
    <w:rsid w:val="00380706"/>
    <w:rsid w:val="00382FDC"/>
    <w:rsid w:val="003837E8"/>
    <w:rsid w:val="003863F2"/>
    <w:rsid w:val="0038660E"/>
    <w:rsid w:val="00387390"/>
    <w:rsid w:val="00387406"/>
    <w:rsid w:val="0039099E"/>
    <w:rsid w:val="00393D77"/>
    <w:rsid w:val="003941C4"/>
    <w:rsid w:val="003955BA"/>
    <w:rsid w:val="00395A99"/>
    <w:rsid w:val="00395BFB"/>
    <w:rsid w:val="00395FDF"/>
    <w:rsid w:val="0039729A"/>
    <w:rsid w:val="003A184E"/>
    <w:rsid w:val="003A29C5"/>
    <w:rsid w:val="003A2C3E"/>
    <w:rsid w:val="003A7C8C"/>
    <w:rsid w:val="003B032D"/>
    <w:rsid w:val="003B15E2"/>
    <w:rsid w:val="003B48F7"/>
    <w:rsid w:val="003B5161"/>
    <w:rsid w:val="003C0E26"/>
    <w:rsid w:val="003C107E"/>
    <w:rsid w:val="003C1E2C"/>
    <w:rsid w:val="003C1E61"/>
    <w:rsid w:val="003C432C"/>
    <w:rsid w:val="003C49C0"/>
    <w:rsid w:val="003D10F8"/>
    <w:rsid w:val="003D1F90"/>
    <w:rsid w:val="003D3416"/>
    <w:rsid w:val="003D4C0D"/>
    <w:rsid w:val="003E0139"/>
    <w:rsid w:val="003E1751"/>
    <w:rsid w:val="003E1B5C"/>
    <w:rsid w:val="003E2C48"/>
    <w:rsid w:val="003E46A3"/>
    <w:rsid w:val="003E5169"/>
    <w:rsid w:val="003E5999"/>
    <w:rsid w:val="003E5BA1"/>
    <w:rsid w:val="003E6FB0"/>
    <w:rsid w:val="003F01A0"/>
    <w:rsid w:val="003F1DEF"/>
    <w:rsid w:val="003F38DA"/>
    <w:rsid w:val="003F6350"/>
    <w:rsid w:val="004002F9"/>
    <w:rsid w:val="004012AC"/>
    <w:rsid w:val="00401BAE"/>
    <w:rsid w:val="0040280A"/>
    <w:rsid w:val="004031A1"/>
    <w:rsid w:val="00403254"/>
    <w:rsid w:val="00404CA0"/>
    <w:rsid w:val="00405908"/>
    <w:rsid w:val="004066F4"/>
    <w:rsid w:val="004156AF"/>
    <w:rsid w:val="00416F97"/>
    <w:rsid w:val="0041712A"/>
    <w:rsid w:val="004231F5"/>
    <w:rsid w:val="004235DA"/>
    <w:rsid w:val="00423C74"/>
    <w:rsid w:val="00424219"/>
    <w:rsid w:val="004251AC"/>
    <w:rsid w:val="00425502"/>
    <w:rsid w:val="00430365"/>
    <w:rsid w:val="004305BD"/>
    <w:rsid w:val="004329B8"/>
    <w:rsid w:val="0043430C"/>
    <w:rsid w:val="00434952"/>
    <w:rsid w:val="00436AB0"/>
    <w:rsid w:val="00437DE2"/>
    <w:rsid w:val="00440321"/>
    <w:rsid w:val="00440C4A"/>
    <w:rsid w:val="00441F27"/>
    <w:rsid w:val="00442B7F"/>
    <w:rsid w:val="00443263"/>
    <w:rsid w:val="00445446"/>
    <w:rsid w:val="00445DAA"/>
    <w:rsid w:val="00446303"/>
    <w:rsid w:val="00453EAD"/>
    <w:rsid w:val="00455002"/>
    <w:rsid w:val="004555EB"/>
    <w:rsid w:val="00455952"/>
    <w:rsid w:val="004559FA"/>
    <w:rsid w:val="00456A7A"/>
    <w:rsid w:val="004574E1"/>
    <w:rsid w:val="00460E75"/>
    <w:rsid w:val="00461958"/>
    <w:rsid w:val="00461A31"/>
    <w:rsid w:val="00462BC1"/>
    <w:rsid w:val="0046300B"/>
    <w:rsid w:val="00465CD3"/>
    <w:rsid w:val="00466903"/>
    <w:rsid w:val="0046730A"/>
    <w:rsid w:val="00473AFE"/>
    <w:rsid w:val="00474D1F"/>
    <w:rsid w:val="004755AD"/>
    <w:rsid w:val="00476737"/>
    <w:rsid w:val="00480FF4"/>
    <w:rsid w:val="00481057"/>
    <w:rsid w:val="004810EC"/>
    <w:rsid w:val="004812ED"/>
    <w:rsid w:val="00482D3D"/>
    <w:rsid w:val="004832CA"/>
    <w:rsid w:val="004846C8"/>
    <w:rsid w:val="00484F23"/>
    <w:rsid w:val="0048611D"/>
    <w:rsid w:val="004862D7"/>
    <w:rsid w:val="0048768A"/>
    <w:rsid w:val="004903A6"/>
    <w:rsid w:val="00490938"/>
    <w:rsid w:val="00492DC9"/>
    <w:rsid w:val="004A0F0A"/>
    <w:rsid w:val="004A285A"/>
    <w:rsid w:val="004A4BF1"/>
    <w:rsid w:val="004A544D"/>
    <w:rsid w:val="004A61E4"/>
    <w:rsid w:val="004B0013"/>
    <w:rsid w:val="004B0921"/>
    <w:rsid w:val="004B1CEF"/>
    <w:rsid w:val="004B43E0"/>
    <w:rsid w:val="004B4727"/>
    <w:rsid w:val="004B53CA"/>
    <w:rsid w:val="004B7252"/>
    <w:rsid w:val="004B7CA6"/>
    <w:rsid w:val="004B7DCC"/>
    <w:rsid w:val="004C202E"/>
    <w:rsid w:val="004C2ED4"/>
    <w:rsid w:val="004C32F3"/>
    <w:rsid w:val="004C38DA"/>
    <w:rsid w:val="004C40C1"/>
    <w:rsid w:val="004C4CB1"/>
    <w:rsid w:val="004C5334"/>
    <w:rsid w:val="004C7126"/>
    <w:rsid w:val="004C7240"/>
    <w:rsid w:val="004C7E96"/>
    <w:rsid w:val="004D045E"/>
    <w:rsid w:val="004D0A69"/>
    <w:rsid w:val="004D2E5D"/>
    <w:rsid w:val="004D6A1F"/>
    <w:rsid w:val="004D74C0"/>
    <w:rsid w:val="004E3DA8"/>
    <w:rsid w:val="004E5079"/>
    <w:rsid w:val="004E5947"/>
    <w:rsid w:val="004E614E"/>
    <w:rsid w:val="004F0414"/>
    <w:rsid w:val="004F052C"/>
    <w:rsid w:val="004F079F"/>
    <w:rsid w:val="004F13EA"/>
    <w:rsid w:val="004F22D7"/>
    <w:rsid w:val="004F4E50"/>
    <w:rsid w:val="00501B20"/>
    <w:rsid w:val="005036EF"/>
    <w:rsid w:val="00503955"/>
    <w:rsid w:val="00503DCE"/>
    <w:rsid w:val="00510227"/>
    <w:rsid w:val="00511429"/>
    <w:rsid w:val="005147DA"/>
    <w:rsid w:val="005153A3"/>
    <w:rsid w:val="00515741"/>
    <w:rsid w:val="0051736C"/>
    <w:rsid w:val="00521C6B"/>
    <w:rsid w:val="005229C9"/>
    <w:rsid w:val="00523334"/>
    <w:rsid w:val="00524623"/>
    <w:rsid w:val="005257DC"/>
    <w:rsid w:val="005269C2"/>
    <w:rsid w:val="00533818"/>
    <w:rsid w:val="0053557C"/>
    <w:rsid w:val="00535C94"/>
    <w:rsid w:val="005363F4"/>
    <w:rsid w:val="00537C05"/>
    <w:rsid w:val="00537F5B"/>
    <w:rsid w:val="005413B0"/>
    <w:rsid w:val="00543280"/>
    <w:rsid w:val="0054385A"/>
    <w:rsid w:val="005463FD"/>
    <w:rsid w:val="005506A9"/>
    <w:rsid w:val="00552AB3"/>
    <w:rsid w:val="00552BAD"/>
    <w:rsid w:val="0055320F"/>
    <w:rsid w:val="00553AF4"/>
    <w:rsid w:val="00553D37"/>
    <w:rsid w:val="00554EA5"/>
    <w:rsid w:val="00554ECD"/>
    <w:rsid w:val="005562D0"/>
    <w:rsid w:val="005567FD"/>
    <w:rsid w:val="00556AA9"/>
    <w:rsid w:val="0055721D"/>
    <w:rsid w:val="00557881"/>
    <w:rsid w:val="00557DF2"/>
    <w:rsid w:val="00560D2C"/>
    <w:rsid w:val="00561194"/>
    <w:rsid w:val="00561740"/>
    <w:rsid w:val="005619AE"/>
    <w:rsid w:val="00561B24"/>
    <w:rsid w:val="0056229B"/>
    <w:rsid w:val="00563957"/>
    <w:rsid w:val="005674C3"/>
    <w:rsid w:val="00567741"/>
    <w:rsid w:val="005679FF"/>
    <w:rsid w:val="00567BF4"/>
    <w:rsid w:val="00571BA7"/>
    <w:rsid w:val="00571FD0"/>
    <w:rsid w:val="00574143"/>
    <w:rsid w:val="00575083"/>
    <w:rsid w:val="00575A10"/>
    <w:rsid w:val="00575CE4"/>
    <w:rsid w:val="00576715"/>
    <w:rsid w:val="0057771B"/>
    <w:rsid w:val="00581101"/>
    <w:rsid w:val="005856A0"/>
    <w:rsid w:val="005866DC"/>
    <w:rsid w:val="00586DBB"/>
    <w:rsid w:val="00586E2C"/>
    <w:rsid w:val="005870FA"/>
    <w:rsid w:val="005909CD"/>
    <w:rsid w:val="00591D18"/>
    <w:rsid w:val="00592037"/>
    <w:rsid w:val="005A0B75"/>
    <w:rsid w:val="005A1557"/>
    <w:rsid w:val="005A1AF7"/>
    <w:rsid w:val="005A30AB"/>
    <w:rsid w:val="005A49C4"/>
    <w:rsid w:val="005B06BD"/>
    <w:rsid w:val="005B1DCE"/>
    <w:rsid w:val="005B2B8B"/>
    <w:rsid w:val="005B3DC7"/>
    <w:rsid w:val="005B4D08"/>
    <w:rsid w:val="005B4F97"/>
    <w:rsid w:val="005B6A0D"/>
    <w:rsid w:val="005C00F7"/>
    <w:rsid w:val="005C1D14"/>
    <w:rsid w:val="005C2969"/>
    <w:rsid w:val="005C3406"/>
    <w:rsid w:val="005C5934"/>
    <w:rsid w:val="005C5BAB"/>
    <w:rsid w:val="005C5CE1"/>
    <w:rsid w:val="005C6F07"/>
    <w:rsid w:val="005D2969"/>
    <w:rsid w:val="005D2FF7"/>
    <w:rsid w:val="005D3653"/>
    <w:rsid w:val="005D4132"/>
    <w:rsid w:val="005D5B09"/>
    <w:rsid w:val="005D6818"/>
    <w:rsid w:val="005D6B41"/>
    <w:rsid w:val="005E014A"/>
    <w:rsid w:val="005E12D7"/>
    <w:rsid w:val="005E41B1"/>
    <w:rsid w:val="005E42D4"/>
    <w:rsid w:val="005E4C09"/>
    <w:rsid w:val="005E51DD"/>
    <w:rsid w:val="005E5D6E"/>
    <w:rsid w:val="005F0E0A"/>
    <w:rsid w:val="005F1358"/>
    <w:rsid w:val="005F18E2"/>
    <w:rsid w:val="005F348E"/>
    <w:rsid w:val="005F54B3"/>
    <w:rsid w:val="005F6EE1"/>
    <w:rsid w:val="005F78EE"/>
    <w:rsid w:val="005F7EF9"/>
    <w:rsid w:val="00600470"/>
    <w:rsid w:val="00601349"/>
    <w:rsid w:val="00601EEB"/>
    <w:rsid w:val="00602559"/>
    <w:rsid w:val="006058B3"/>
    <w:rsid w:val="00607DAE"/>
    <w:rsid w:val="00611EEE"/>
    <w:rsid w:val="00613BDF"/>
    <w:rsid w:val="006148BE"/>
    <w:rsid w:val="0061715B"/>
    <w:rsid w:val="006173AB"/>
    <w:rsid w:val="0062126C"/>
    <w:rsid w:val="006235C2"/>
    <w:rsid w:val="0062560F"/>
    <w:rsid w:val="00625D0B"/>
    <w:rsid w:val="006265E2"/>
    <w:rsid w:val="006273D0"/>
    <w:rsid w:val="006308B6"/>
    <w:rsid w:val="00630E34"/>
    <w:rsid w:val="0063144B"/>
    <w:rsid w:val="006336BC"/>
    <w:rsid w:val="00635420"/>
    <w:rsid w:val="00635450"/>
    <w:rsid w:val="006403A1"/>
    <w:rsid w:val="00640452"/>
    <w:rsid w:val="00641DC8"/>
    <w:rsid w:val="0064751D"/>
    <w:rsid w:val="00647576"/>
    <w:rsid w:val="00647CEA"/>
    <w:rsid w:val="00647D86"/>
    <w:rsid w:val="0065009F"/>
    <w:rsid w:val="006504E0"/>
    <w:rsid w:val="006512A1"/>
    <w:rsid w:val="00656BAC"/>
    <w:rsid w:val="00657B44"/>
    <w:rsid w:val="00657F80"/>
    <w:rsid w:val="00661128"/>
    <w:rsid w:val="0066117E"/>
    <w:rsid w:val="006613D1"/>
    <w:rsid w:val="00661992"/>
    <w:rsid w:val="006658AD"/>
    <w:rsid w:val="00667B21"/>
    <w:rsid w:val="00667F1C"/>
    <w:rsid w:val="00670538"/>
    <w:rsid w:val="006709A6"/>
    <w:rsid w:val="00670E2D"/>
    <w:rsid w:val="00675EAF"/>
    <w:rsid w:val="00675F5D"/>
    <w:rsid w:val="0067664C"/>
    <w:rsid w:val="00676FD1"/>
    <w:rsid w:val="006774E1"/>
    <w:rsid w:val="0068272D"/>
    <w:rsid w:val="006833CD"/>
    <w:rsid w:val="0068389A"/>
    <w:rsid w:val="00683AEB"/>
    <w:rsid w:val="00684544"/>
    <w:rsid w:val="0068458B"/>
    <w:rsid w:val="00684941"/>
    <w:rsid w:val="00686A75"/>
    <w:rsid w:val="00687C19"/>
    <w:rsid w:val="00691775"/>
    <w:rsid w:val="00691A9C"/>
    <w:rsid w:val="006A4038"/>
    <w:rsid w:val="006A4680"/>
    <w:rsid w:val="006A5571"/>
    <w:rsid w:val="006A63B8"/>
    <w:rsid w:val="006A69D8"/>
    <w:rsid w:val="006A7321"/>
    <w:rsid w:val="006B004D"/>
    <w:rsid w:val="006B06B8"/>
    <w:rsid w:val="006B5438"/>
    <w:rsid w:val="006B57A8"/>
    <w:rsid w:val="006B7163"/>
    <w:rsid w:val="006C3060"/>
    <w:rsid w:val="006C3AD6"/>
    <w:rsid w:val="006C49A0"/>
    <w:rsid w:val="006C61F9"/>
    <w:rsid w:val="006D4F60"/>
    <w:rsid w:val="006E1665"/>
    <w:rsid w:val="006E1A68"/>
    <w:rsid w:val="006E2EF7"/>
    <w:rsid w:val="006E379A"/>
    <w:rsid w:val="006E4D5E"/>
    <w:rsid w:val="006E55EF"/>
    <w:rsid w:val="006E5C84"/>
    <w:rsid w:val="006E6818"/>
    <w:rsid w:val="006E6912"/>
    <w:rsid w:val="006F27B6"/>
    <w:rsid w:val="006F2B89"/>
    <w:rsid w:val="006F3060"/>
    <w:rsid w:val="006F3CA2"/>
    <w:rsid w:val="006F4959"/>
    <w:rsid w:val="006F5036"/>
    <w:rsid w:val="006F5710"/>
    <w:rsid w:val="006F59D8"/>
    <w:rsid w:val="007023B9"/>
    <w:rsid w:val="00702D2D"/>
    <w:rsid w:val="007034FD"/>
    <w:rsid w:val="007040DB"/>
    <w:rsid w:val="007056F8"/>
    <w:rsid w:val="007110FB"/>
    <w:rsid w:val="00711F7C"/>
    <w:rsid w:val="00713783"/>
    <w:rsid w:val="00715C0A"/>
    <w:rsid w:val="00716309"/>
    <w:rsid w:val="00716530"/>
    <w:rsid w:val="007170DF"/>
    <w:rsid w:val="00720BB7"/>
    <w:rsid w:val="00721A98"/>
    <w:rsid w:val="00721E59"/>
    <w:rsid w:val="007222B8"/>
    <w:rsid w:val="0072304A"/>
    <w:rsid w:val="00724621"/>
    <w:rsid w:val="00727D4D"/>
    <w:rsid w:val="007326D3"/>
    <w:rsid w:val="0073374B"/>
    <w:rsid w:val="007362DE"/>
    <w:rsid w:val="007366D5"/>
    <w:rsid w:val="00741471"/>
    <w:rsid w:val="007419EA"/>
    <w:rsid w:val="00742C7D"/>
    <w:rsid w:val="00743621"/>
    <w:rsid w:val="007502C7"/>
    <w:rsid w:val="00750EC2"/>
    <w:rsid w:val="0075132B"/>
    <w:rsid w:val="0075175E"/>
    <w:rsid w:val="0075304E"/>
    <w:rsid w:val="007578E6"/>
    <w:rsid w:val="00757A1B"/>
    <w:rsid w:val="0076208F"/>
    <w:rsid w:val="00762D2C"/>
    <w:rsid w:val="00763057"/>
    <w:rsid w:val="00764A22"/>
    <w:rsid w:val="00766702"/>
    <w:rsid w:val="00767652"/>
    <w:rsid w:val="00770548"/>
    <w:rsid w:val="00770BE7"/>
    <w:rsid w:val="00770F41"/>
    <w:rsid w:val="0077225A"/>
    <w:rsid w:val="0077464C"/>
    <w:rsid w:val="0077605E"/>
    <w:rsid w:val="007771E0"/>
    <w:rsid w:val="007802C6"/>
    <w:rsid w:val="00780359"/>
    <w:rsid w:val="00780FFF"/>
    <w:rsid w:val="00782316"/>
    <w:rsid w:val="00782FF1"/>
    <w:rsid w:val="00786BFD"/>
    <w:rsid w:val="00786CD7"/>
    <w:rsid w:val="007870EC"/>
    <w:rsid w:val="00787B45"/>
    <w:rsid w:val="00791902"/>
    <w:rsid w:val="007927D7"/>
    <w:rsid w:val="00793B78"/>
    <w:rsid w:val="00795C2B"/>
    <w:rsid w:val="007A06A7"/>
    <w:rsid w:val="007A3456"/>
    <w:rsid w:val="007A3DC9"/>
    <w:rsid w:val="007A792D"/>
    <w:rsid w:val="007B0ACC"/>
    <w:rsid w:val="007B0E56"/>
    <w:rsid w:val="007B10C8"/>
    <w:rsid w:val="007B1784"/>
    <w:rsid w:val="007B1CF8"/>
    <w:rsid w:val="007B215E"/>
    <w:rsid w:val="007B2F61"/>
    <w:rsid w:val="007B53B2"/>
    <w:rsid w:val="007B548F"/>
    <w:rsid w:val="007B6377"/>
    <w:rsid w:val="007B6447"/>
    <w:rsid w:val="007B65F3"/>
    <w:rsid w:val="007C129D"/>
    <w:rsid w:val="007C1527"/>
    <w:rsid w:val="007C1B51"/>
    <w:rsid w:val="007C3A9F"/>
    <w:rsid w:val="007C7143"/>
    <w:rsid w:val="007C770F"/>
    <w:rsid w:val="007C78B4"/>
    <w:rsid w:val="007D0F3D"/>
    <w:rsid w:val="007D17E6"/>
    <w:rsid w:val="007D1B14"/>
    <w:rsid w:val="007D6921"/>
    <w:rsid w:val="007D7A29"/>
    <w:rsid w:val="007E010D"/>
    <w:rsid w:val="007E06DA"/>
    <w:rsid w:val="007E14BB"/>
    <w:rsid w:val="007E3861"/>
    <w:rsid w:val="007E39AA"/>
    <w:rsid w:val="007E4655"/>
    <w:rsid w:val="007E4DA8"/>
    <w:rsid w:val="007E5195"/>
    <w:rsid w:val="007E54EA"/>
    <w:rsid w:val="007E7127"/>
    <w:rsid w:val="007E76AC"/>
    <w:rsid w:val="007F1467"/>
    <w:rsid w:val="007F2504"/>
    <w:rsid w:val="007F5391"/>
    <w:rsid w:val="007F5DFF"/>
    <w:rsid w:val="007F6CED"/>
    <w:rsid w:val="007F6FE2"/>
    <w:rsid w:val="007F72DD"/>
    <w:rsid w:val="007F7C3A"/>
    <w:rsid w:val="008014E4"/>
    <w:rsid w:val="0080166B"/>
    <w:rsid w:val="0080175B"/>
    <w:rsid w:val="00802D39"/>
    <w:rsid w:val="0080395F"/>
    <w:rsid w:val="00806640"/>
    <w:rsid w:val="008066C6"/>
    <w:rsid w:val="00807323"/>
    <w:rsid w:val="00811608"/>
    <w:rsid w:val="00813788"/>
    <w:rsid w:val="0081442B"/>
    <w:rsid w:val="008161B2"/>
    <w:rsid w:val="00825C19"/>
    <w:rsid w:val="00827411"/>
    <w:rsid w:val="00830EC5"/>
    <w:rsid w:val="00831296"/>
    <w:rsid w:val="008312FF"/>
    <w:rsid w:val="00831E14"/>
    <w:rsid w:val="00832302"/>
    <w:rsid w:val="008339EF"/>
    <w:rsid w:val="00833A08"/>
    <w:rsid w:val="00835FE8"/>
    <w:rsid w:val="00836E68"/>
    <w:rsid w:val="00841160"/>
    <w:rsid w:val="00841D42"/>
    <w:rsid w:val="0084649D"/>
    <w:rsid w:val="00846BDA"/>
    <w:rsid w:val="0084781B"/>
    <w:rsid w:val="00850AE3"/>
    <w:rsid w:val="00850C6C"/>
    <w:rsid w:val="00851051"/>
    <w:rsid w:val="00852E4F"/>
    <w:rsid w:val="00853353"/>
    <w:rsid w:val="00854A4E"/>
    <w:rsid w:val="00855A32"/>
    <w:rsid w:val="0085624A"/>
    <w:rsid w:val="00856402"/>
    <w:rsid w:val="00860AF7"/>
    <w:rsid w:val="00860ED6"/>
    <w:rsid w:val="00862A61"/>
    <w:rsid w:val="00862B23"/>
    <w:rsid w:val="0086342B"/>
    <w:rsid w:val="00864C95"/>
    <w:rsid w:val="00867BBD"/>
    <w:rsid w:val="00870C83"/>
    <w:rsid w:val="008711EF"/>
    <w:rsid w:val="008719AD"/>
    <w:rsid w:val="00871FD9"/>
    <w:rsid w:val="00872739"/>
    <w:rsid w:val="00874C79"/>
    <w:rsid w:val="008816AC"/>
    <w:rsid w:val="00883739"/>
    <w:rsid w:val="0088417D"/>
    <w:rsid w:val="008843AA"/>
    <w:rsid w:val="00884D3A"/>
    <w:rsid w:val="00885AFC"/>
    <w:rsid w:val="00887E78"/>
    <w:rsid w:val="00890425"/>
    <w:rsid w:val="00890906"/>
    <w:rsid w:val="00891B0F"/>
    <w:rsid w:val="00892626"/>
    <w:rsid w:val="00892C69"/>
    <w:rsid w:val="008941B9"/>
    <w:rsid w:val="008967AE"/>
    <w:rsid w:val="00896EBC"/>
    <w:rsid w:val="00897706"/>
    <w:rsid w:val="00897DC4"/>
    <w:rsid w:val="008A23CA"/>
    <w:rsid w:val="008A243E"/>
    <w:rsid w:val="008A3A01"/>
    <w:rsid w:val="008A4253"/>
    <w:rsid w:val="008A536D"/>
    <w:rsid w:val="008A5544"/>
    <w:rsid w:val="008A5FC7"/>
    <w:rsid w:val="008B0993"/>
    <w:rsid w:val="008B2016"/>
    <w:rsid w:val="008B2987"/>
    <w:rsid w:val="008B31EE"/>
    <w:rsid w:val="008B40CE"/>
    <w:rsid w:val="008B513A"/>
    <w:rsid w:val="008B53A6"/>
    <w:rsid w:val="008B5CB9"/>
    <w:rsid w:val="008B614A"/>
    <w:rsid w:val="008B61BE"/>
    <w:rsid w:val="008B6821"/>
    <w:rsid w:val="008C2295"/>
    <w:rsid w:val="008C2FEC"/>
    <w:rsid w:val="008C3744"/>
    <w:rsid w:val="008C57AF"/>
    <w:rsid w:val="008C6948"/>
    <w:rsid w:val="008C7415"/>
    <w:rsid w:val="008C79CA"/>
    <w:rsid w:val="008D015E"/>
    <w:rsid w:val="008D04F3"/>
    <w:rsid w:val="008D27DF"/>
    <w:rsid w:val="008D3312"/>
    <w:rsid w:val="008D3AF9"/>
    <w:rsid w:val="008D442E"/>
    <w:rsid w:val="008D44D3"/>
    <w:rsid w:val="008D531E"/>
    <w:rsid w:val="008D69A4"/>
    <w:rsid w:val="008D7601"/>
    <w:rsid w:val="008E40FA"/>
    <w:rsid w:val="008E4A8D"/>
    <w:rsid w:val="008E6DE8"/>
    <w:rsid w:val="008E6FDA"/>
    <w:rsid w:val="008F0181"/>
    <w:rsid w:val="008F38A7"/>
    <w:rsid w:val="008F46A6"/>
    <w:rsid w:val="008F563B"/>
    <w:rsid w:val="008F67EA"/>
    <w:rsid w:val="008F691D"/>
    <w:rsid w:val="008F757A"/>
    <w:rsid w:val="00900736"/>
    <w:rsid w:val="00904481"/>
    <w:rsid w:val="00904946"/>
    <w:rsid w:val="00904B62"/>
    <w:rsid w:val="009065B8"/>
    <w:rsid w:val="00906EE4"/>
    <w:rsid w:val="00907904"/>
    <w:rsid w:val="00911244"/>
    <w:rsid w:val="00911681"/>
    <w:rsid w:val="00911746"/>
    <w:rsid w:val="00913DC7"/>
    <w:rsid w:val="00913EDC"/>
    <w:rsid w:val="00914CE1"/>
    <w:rsid w:val="00915023"/>
    <w:rsid w:val="009150D6"/>
    <w:rsid w:val="009176AC"/>
    <w:rsid w:val="00920108"/>
    <w:rsid w:val="009218E9"/>
    <w:rsid w:val="00921B7C"/>
    <w:rsid w:val="00924E1D"/>
    <w:rsid w:val="00930673"/>
    <w:rsid w:val="0093296A"/>
    <w:rsid w:val="00932B70"/>
    <w:rsid w:val="00932C8F"/>
    <w:rsid w:val="0093674E"/>
    <w:rsid w:val="00936E5E"/>
    <w:rsid w:val="009374EB"/>
    <w:rsid w:val="00940B26"/>
    <w:rsid w:val="00941376"/>
    <w:rsid w:val="009415C8"/>
    <w:rsid w:val="00943195"/>
    <w:rsid w:val="00947C08"/>
    <w:rsid w:val="00947C52"/>
    <w:rsid w:val="00947D6B"/>
    <w:rsid w:val="0095080D"/>
    <w:rsid w:val="00951E4B"/>
    <w:rsid w:val="009544A5"/>
    <w:rsid w:val="00954787"/>
    <w:rsid w:val="00954D4B"/>
    <w:rsid w:val="00955202"/>
    <w:rsid w:val="009552CC"/>
    <w:rsid w:val="009556B6"/>
    <w:rsid w:val="009556B8"/>
    <w:rsid w:val="00957266"/>
    <w:rsid w:val="009620E1"/>
    <w:rsid w:val="00962891"/>
    <w:rsid w:val="00963552"/>
    <w:rsid w:val="00967758"/>
    <w:rsid w:val="0097146C"/>
    <w:rsid w:val="00977485"/>
    <w:rsid w:val="00977D78"/>
    <w:rsid w:val="00980E14"/>
    <w:rsid w:val="0098474F"/>
    <w:rsid w:val="00985D02"/>
    <w:rsid w:val="00986C10"/>
    <w:rsid w:val="00986C16"/>
    <w:rsid w:val="0099054F"/>
    <w:rsid w:val="00992A67"/>
    <w:rsid w:val="00994605"/>
    <w:rsid w:val="0099460E"/>
    <w:rsid w:val="00994718"/>
    <w:rsid w:val="00994E95"/>
    <w:rsid w:val="00995462"/>
    <w:rsid w:val="00996A56"/>
    <w:rsid w:val="009971DF"/>
    <w:rsid w:val="009A1003"/>
    <w:rsid w:val="009A109F"/>
    <w:rsid w:val="009A3E16"/>
    <w:rsid w:val="009A4D4A"/>
    <w:rsid w:val="009A5659"/>
    <w:rsid w:val="009A677C"/>
    <w:rsid w:val="009A7BE4"/>
    <w:rsid w:val="009B27C1"/>
    <w:rsid w:val="009B33A6"/>
    <w:rsid w:val="009B3D7D"/>
    <w:rsid w:val="009B4DAC"/>
    <w:rsid w:val="009B5734"/>
    <w:rsid w:val="009B6A7A"/>
    <w:rsid w:val="009B7714"/>
    <w:rsid w:val="009C0588"/>
    <w:rsid w:val="009C19B4"/>
    <w:rsid w:val="009C1C73"/>
    <w:rsid w:val="009C511C"/>
    <w:rsid w:val="009C6F82"/>
    <w:rsid w:val="009D6AFF"/>
    <w:rsid w:val="009D6BDA"/>
    <w:rsid w:val="009E03A1"/>
    <w:rsid w:val="009E50AB"/>
    <w:rsid w:val="009E5377"/>
    <w:rsid w:val="009E7AE3"/>
    <w:rsid w:val="009F01F4"/>
    <w:rsid w:val="009F03CD"/>
    <w:rsid w:val="009F0645"/>
    <w:rsid w:val="009F0963"/>
    <w:rsid w:val="009F51A5"/>
    <w:rsid w:val="009F5D15"/>
    <w:rsid w:val="009F5FF2"/>
    <w:rsid w:val="009F62F9"/>
    <w:rsid w:val="00A012E9"/>
    <w:rsid w:val="00A0264E"/>
    <w:rsid w:val="00A0592D"/>
    <w:rsid w:val="00A06B8D"/>
    <w:rsid w:val="00A074B7"/>
    <w:rsid w:val="00A10E93"/>
    <w:rsid w:val="00A112C7"/>
    <w:rsid w:val="00A11973"/>
    <w:rsid w:val="00A152E2"/>
    <w:rsid w:val="00A16E58"/>
    <w:rsid w:val="00A171BD"/>
    <w:rsid w:val="00A21A12"/>
    <w:rsid w:val="00A21D93"/>
    <w:rsid w:val="00A241AA"/>
    <w:rsid w:val="00A24C35"/>
    <w:rsid w:val="00A25138"/>
    <w:rsid w:val="00A26685"/>
    <w:rsid w:val="00A2684E"/>
    <w:rsid w:val="00A26B28"/>
    <w:rsid w:val="00A2797B"/>
    <w:rsid w:val="00A300CF"/>
    <w:rsid w:val="00A31127"/>
    <w:rsid w:val="00A3371A"/>
    <w:rsid w:val="00A354F8"/>
    <w:rsid w:val="00A377C0"/>
    <w:rsid w:val="00A4054A"/>
    <w:rsid w:val="00A4171F"/>
    <w:rsid w:val="00A4573F"/>
    <w:rsid w:val="00A5050A"/>
    <w:rsid w:val="00A62700"/>
    <w:rsid w:val="00A62DB9"/>
    <w:rsid w:val="00A62FFB"/>
    <w:rsid w:val="00A6469A"/>
    <w:rsid w:val="00A65282"/>
    <w:rsid w:val="00A65993"/>
    <w:rsid w:val="00A659CE"/>
    <w:rsid w:val="00A66477"/>
    <w:rsid w:val="00A707E7"/>
    <w:rsid w:val="00A70E5F"/>
    <w:rsid w:val="00A714D4"/>
    <w:rsid w:val="00A72B30"/>
    <w:rsid w:val="00A7392D"/>
    <w:rsid w:val="00A768C1"/>
    <w:rsid w:val="00A768E4"/>
    <w:rsid w:val="00A80409"/>
    <w:rsid w:val="00A812CB"/>
    <w:rsid w:val="00A82B33"/>
    <w:rsid w:val="00A8436D"/>
    <w:rsid w:val="00A846CC"/>
    <w:rsid w:val="00A86E34"/>
    <w:rsid w:val="00A96416"/>
    <w:rsid w:val="00A96824"/>
    <w:rsid w:val="00A96F30"/>
    <w:rsid w:val="00AA2FC4"/>
    <w:rsid w:val="00AA33E0"/>
    <w:rsid w:val="00AA37DA"/>
    <w:rsid w:val="00AA4899"/>
    <w:rsid w:val="00AA586B"/>
    <w:rsid w:val="00AA7264"/>
    <w:rsid w:val="00AB05F2"/>
    <w:rsid w:val="00AB0F3A"/>
    <w:rsid w:val="00AB1811"/>
    <w:rsid w:val="00AB237E"/>
    <w:rsid w:val="00AB2678"/>
    <w:rsid w:val="00AB2865"/>
    <w:rsid w:val="00AB39EE"/>
    <w:rsid w:val="00AB4896"/>
    <w:rsid w:val="00AB4CEF"/>
    <w:rsid w:val="00AB51BA"/>
    <w:rsid w:val="00AB6EDE"/>
    <w:rsid w:val="00AB76CB"/>
    <w:rsid w:val="00AC1094"/>
    <w:rsid w:val="00AC1577"/>
    <w:rsid w:val="00AC43DB"/>
    <w:rsid w:val="00AC4C45"/>
    <w:rsid w:val="00AC5143"/>
    <w:rsid w:val="00AC5846"/>
    <w:rsid w:val="00AD0684"/>
    <w:rsid w:val="00AD1823"/>
    <w:rsid w:val="00AD31B5"/>
    <w:rsid w:val="00AD48AE"/>
    <w:rsid w:val="00AD54CA"/>
    <w:rsid w:val="00AD7223"/>
    <w:rsid w:val="00AE1910"/>
    <w:rsid w:val="00AE1A78"/>
    <w:rsid w:val="00AE1CBD"/>
    <w:rsid w:val="00AE3754"/>
    <w:rsid w:val="00AE6732"/>
    <w:rsid w:val="00AF3982"/>
    <w:rsid w:val="00AF4571"/>
    <w:rsid w:val="00AF4AD1"/>
    <w:rsid w:val="00AF6804"/>
    <w:rsid w:val="00B00510"/>
    <w:rsid w:val="00B028BA"/>
    <w:rsid w:val="00B0332F"/>
    <w:rsid w:val="00B05033"/>
    <w:rsid w:val="00B052CC"/>
    <w:rsid w:val="00B07644"/>
    <w:rsid w:val="00B079D9"/>
    <w:rsid w:val="00B123D9"/>
    <w:rsid w:val="00B14C58"/>
    <w:rsid w:val="00B14DBB"/>
    <w:rsid w:val="00B173ED"/>
    <w:rsid w:val="00B20F11"/>
    <w:rsid w:val="00B21C0D"/>
    <w:rsid w:val="00B22A8C"/>
    <w:rsid w:val="00B22B28"/>
    <w:rsid w:val="00B252D8"/>
    <w:rsid w:val="00B25DF2"/>
    <w:rsid w:val="00B26E03"/>
    <w:rsid w:val="00B3102C"/>
    <w:rsid w:val="00B31F01"/>
    <w:rsid w:val="00B362CE"/>
    <w:rsid w:val="00B377B7"/>
    <w:rsid w:val="00B37F44"/>
    <w:rsid w:val="00B4154F"/>
    <w:rsid w:val="00B42AD0"/>
    <w:rsid w:val="00B42BCA"/>
    <w:rsid w:val="00B4303E"/>
    <w:rsid w:val="00B43D3C"/>
    <w:rsid w:val="00B46217"/>
    <w:rsid w:val="00B47493"/>
    <w:rsid w:val="00B47BD5"/>
    <w:rsid w:val="00B506C6"/>
    <w:rsid w:val="00B50900"/>
    <w:rsid w:val="00B51F71"/>
    <w:rsid w:val="00B52707"/>
    <w:rsid w:val="00B52786"/>
    <w:rsid w:val="00B53F32"/>
    <w:rsid w:val="00B54C75"/>
    <w:rsid w:val="00B557D5"/>
    <w:rsid w:val="00B559C1"/>
    <w:rsid w:val="00B56EFA"/>
    <w:rsid w:val="00B60C9B"/>
    <w:rsid w:val="00B61A38"/>
    <w:rsid w:val="00B63976"/>
    <w:rsid w:val="00B63D9E"/>
    <w:rsid w:val="00B63F58"/>
    <w:rsid w:val="00B64ED6"/>
    <w:rsid w:val="00B65895"/>
    <w:rsid w:val="00B6598D"/>
    <w:rsid w:val="00B6790A"/>
    <w:rsid w:val="00B70816"/>
    <w:rsid w:val="00B70CD2"/>
    <w:rsid w:val="00B71D13"/>
    <w:rsid w:val="00B7519D"/>
    <w:rsid w:val="00B754E9"/>
    <w:rsid w:val="00B75E82"/>
    <w:rsid w:val="00B768D0"/>
    <w:rsid w:val="00B82430"/>
    <w:rsid w:val="00B835E7"/>
    <w:rsid w:val="00B85DF2"/>
    <w:rsid w:val="00B906BE"/>
    <w:rsid w:val="00B9283B"/>
    <w:rsid w:val="00B92910"/>
    <w:rsid w:val="00B92A20"/>
    <w:rsid w:val="00B94046"/>
    <w:rsid w:val="00B964C7"/>
    <w:rsid w:val="00B9782D"/>
    <w:rsid w:val="00BA09D7"/>
    <w:rsid w:val="00BA1F3F"/>
    <w:rsid w:val="00BA3DE3"/>
    <w:rsid w:val="00BB0720"/>
    <w:rsid w:val="00BB1451"/>
    <w:rsid w:val="00BB254D"/>
    <w:rsid w:val="00BB3995"/>
    <w:rsid w:val="00BB50BC"/>
    <w:rsid w:val="00BB733B"/>
    <w:rsid w:val="00BB7DC7"/>
    <w:rsid w:val="00BC18FC"/>
    <w:rsid w:val="00BC1BB8"/>
    <w:rsid w:val="00BC4057"/>
    <w:rsid w:val="00BC5469"/>
    <w:rsid w:val="00BC6408"/>
    <w:rsid w:val="00BC689A"/>
    <w:rsid w:val="00BD050F"/>
    <w:rsid w:val="00BD0779"/>
    <w:rsid w:val="00BD191F"/>
    <w:rsid w:val="00BD1C4B"/>
    <w:rsid w:val="00BD3F98"/>
    <w:rsid w:val="00BD5704"/>
    <w:rsid w:val="00BD6080"/>
    <w:rsid w:val="00BE27F8"/>
    <w:rsid w:val="00BE48B1"/>
    <w:rsid w:val="00BE607B"/>
    <w:rsid w:val="00BE6248"/>
    <w:rsid w:val="00BE78D2"/>
    <w:rsid w:val="00BF0C43"/>
    <w:rsid w:val="00BF2F6C"/>
    <w:rsid w:val="00BF4655"/>
    <w:rsid w:val="00BF5695"/>
    <w:rsid w:val="00C01DC2"/>
    <w:rsid w:val="00C05B41"/>
    <w:rsid w:val="00C05E31"/>
    <w:rsid w:val="00C068FC"/>
    <w:rsid w:val="00C06CC1"/>
    <w:rsid w:val="00C11011"/>
    <w:rsid w:val="00C12166"/>
    <w:rsid w:val="00C124CA"/>
    <w:rsid w:val="00C12A83"/>
    <w:rsid w:val="00C1475A"/>
    <w:rsid w:val="00C14CB0"/>
    <w:rsid w:val="00C16CAA"/>
    <w:rsid w:val="00C2110B"/>
    <w:rsid w:val="00C21D86"/>
    <w:rsid w:val="00C2227E"/>
    <w:rsid w:val="00C26A7F"/>
    <w:rsid w:val="00C27A22"/>
    <w:rsid w:val="00C3065B"/>
    <w:rsid w:val="00C30C6B"/>
    <w:rsid w:val="00C32DA1"/>
    <w:rsid w:val="00C3345D"/>
    <w:rsid w:val="00C370D5"/>
    <w:rsid w:val="00C411CE"/>
    <w:rsid w:val="00C41BD7"/>
    <w:rsid w:val="00C4301F"/>
    <w:rsid w:val="00C43AF0"/>
    <w:rsid w:val="00C441A5"/>
    <w:rsid w:val="00C507BA"/>
    <w:rsid w:val="00C523B4"/>
    <w:rsid w:val="00C525D5"/>
    <w:rsid w:val="00C5433B"/>
    <w:rsid w:val="00C56FCD"/>
    <w:rsid w:val="00C5739C"/>
    <w:rsid w:val="00C609EE"/>
    <w:rsid w:val="00C60C0D"/>
    <w:rsid w:val="00C62DA2"/>
    <w:rsid w:val="00C6470E"/>
    <w:rsid w:val="00C65188"/>
    <w:rsid w:val="00C66E9F"/>
    <w:rsid w:val="00C676BC"/>
    <w:rsid w:val="00C71B97"/>
    <w:rsid w:val="00C71CAA"/>
    <w:rsid w:val="00C73D29"/>
    <w:rsid w:val="00C73D3F"/>
    <w:rsid w:val="00C740A0"/>
    <w:rsid w:val="00C75E93"/>
    <w:rsid w:val="00C77594"/>
    <w:rsid w:val="00C86D5E"/>
    <w:rsid w:val="00C873C0"/>
    <w:rsid w:val="00C8797B"/>
    <w:rsid w:val="00C908A1"/>
    <w:rsid w:val="00C91172"/>
    <w:rsid w:val="00C9124C"/>
    <w:rsid w:val="00C927A2"/>
    <w:rsid w:val="00C940EC"/>
    <w:rsid w:val="00CA1682"/>
    <w:rsid w:val="00CA1905"/>
    <w:rsid w:val="00CA2016"/>
    <w:rsid w:val="00CA5774"/>
    <w:rsid w:val="00CA5E69"/>
    <w:rsid w:val="00CA7461"/>
    <w:rsid w:val="00CB05E6"/>
    <w:rsid w:val="00CB0FDF"/>
    <w:rsid w:val="00CB2DD7"/>
    <w:rsid w:val="00CB43E9"/>
    <w:rsid w:val="00CC0C48"/>
    <w:rsid w:val="00CC1810"/>
    <w:rsid w:val="00CC228A"/>
    <w:rsid w:val="00CC35DE"/>
    <w:rsid w:val="00CC3A96"/>
    <w:rsid w:val="00CC4EDD"/>
    <w:rsid w:val="00CC68ED"/>
    <w:rsid w:val="00CC75DD"/>
    <w:rsid w:val="00CD2915"/>
    <w:rsid w:val="00CD4231"/>
    <w:rsid w:val="00CD535B"/>
    <w:rsid w:val="00CD5C09"/>
    <w:rsid w:val="00CD5F5F"/>
    <w:rsid w:val="00CD6257"/>
    <w:rsid w:val="00CD649F"/>
    <w:rsid w:val="00CE0581"/>
    <w:rsid w:val="00CE226F"/>
    <w:rsid w:val="00CE5A3F"/>
    <w:rsid w:val="00CE5FE8"/>
    <w:rsid w:val="00CE6328"/>
    <w:rsid w:val="00CE67A8"/>
    <w:rsid w:val="00CE750B"/>
    <w:rsid w:val="00CF0965"/>
    <w:rsid w:val="00CF4ADC"/>
    <w:rsid w:val="00CF70A8"/>
    <w:rsid w:val="00CF770A"/>
    <w:rsid w:val="00D00EFB"/>
    <w:rsid w:val="00D01B89"/>
    <w:rsid w:val="00D02B30"/>
    <w:rsid w:val="00D0321A"/>
    <w:rsid w:val="00D03D69"/>
    <w:rsid w:val="00D043BA"/>
    <w:rsid w:val="00D07B5E"/>
    <w:rsid w:val="00D11CD9"/>
    <w:rsid w:val="00D11E97"/>
    <w:rsid w:val="00D124BA"/>
    <w:rsid w:val="00D1278D"/>
    <w:rsid w:val="00D138AC"/>
    <w:rsid w:val="00D1572A"/>
    <w:rsid w:val="00D16008"/>
    <w:rsid w:val="00D16D8E"/>
    <w:rsid w:val="00D16E3A"/>
    <w:rsid w:val="00D17853"/>
    <w:rsid w:val="00D20615"/>
    <w:rsid w:val="00D21017"/>
    <w:rsid w:val="00D21401"/>
    <w:rsid w:val="00D23260"/>
    <w:rsid w:val="00D2345E"/>
    <w:rsid w:val="00D253DF"/>
    <w:rsid w:val="00D25F4F"/>
    <w:rsid w:val="00D3085B"/>
    <w:rsid w:val="00D3432A"/>
    <w:rsid w:val="00D34711"/>
    <w:rsid w:val="00D365F3"/>
    <w:rsid w:val="00D37101"/>
    <w:rsid w:val="00D40869"/>
    <w:rsid w:val="00D42B7E"/>
    <w:rsid w:val="00D43310"/>
    <w:rsid w:val="00D43FF2"/>
    <w:rsid w:val="00D44423"/>
    <w:rsid w:val="00D4508B"/>
    <w:rsid w:val="00D50A18"/>
    <w:rsid w:val="00D51703"/>
    <w:rsid w:val="00D524A3"/>
    <w:rsid w:val="00D55922"/>
    <w:rsid w:val="00D55EBA"/>
    <w:rsid w:val="00D57905"/>
    <w:rsid w:val="00D61E8D"/>
    <w:rsid w:val="00D6539A"/>
    <w:rsid w:val="00D6613F"/>
    <w:rsid w:val="00D66842"/>
    <w:rsid w:val="00D70295"/>
    <w:rsid w:val="00D70AC8"/>
    <w:rsid w:val="00D73E49"/>
    <w:rsid w:val="00D74AEB"/>
    <w:rsid w:val="00D874D7"/>
    <w:rsid w:val="00D87944"/>
    <w:rsid w:val="00D94687"/>
    <w:rsid w:val="00D95DE8"/>
    <w:rsid w:val="00D9727D"/>
    <w:rsid w:val="00DA35BC"/>
    <w:rsid w:val="00DA41C3"/>
    <w:rsid w:val="00DA4FBA"/>
    <w:rsid w:val="00DB1C8D"/>
    <w:rsid w:val="00DB4273"/>
    <w:rsid w:val="00DB46D3"/>
    <w:rsid w:val="00DB5644"/>
    <w:rsid w:val="00DB5BF9"/>
    <w:rsid w:val="00DB6BFA"/>
    <w:rsid w:val="00DC1948"/>
    <w:rsid w:val="00DC273B"/>
    <w:rsid w:val="00DC282D"/>
    <w:rsid w:val="00DC313A"/>
    <w:rsid w:val="00DC38F9"/>
    <w:rsid w:val="00DC3D7D"/>
    <w:rsid w:val="00DC5F27"/>
    <w:rsid w:val="00DC74CB"/>
    <w:rsid w:val="00DD0169"/>
    <w:rsid w:val="00DD1A31"/>
    <w:rsid w:val="00DD2352"/>
    <w:rsid w:val="00DD2EB1"/>
    <w:rsid w:val="00DD4CCD"/>
    <w:rsid w:val="00DD6C20"/>
    <w:rsid w:val="00DD7A6F"/>
    <w:rsid w:val="00DE1F9C"/>
    <w:rsid w:val="00DE2421"/>
    <w:rsid w:val="00DE3FF0"/>
    <w:rsid w:val="00DE4B25"/>
    <w:rsid w:val="00DE5A4E"/>
    <w:rsid w:val="00DE5BD8"/>
    <w:rsid w:val="00DE6544"/>
    <w:rsid w:val="00DE68AF"/>
    <w:rsid w:val="00DE692E"/>
    <w:rsid w:val="00DF0958"/>
    <w:rsid w:val="00DF1E35"/>
    <w:rsid w:val="00DF428D"/>
    <w:rsid w:val="00DF5967"/>
    <w:rsid w:val="00DF6D12"/>
    <w:rsid w:val="00E036B6"/>
    <w:rsid w:val="00E05171"/>
    <w:rsid w:val="00E0700C"/>
    <w:rsid w:val="00E13248"/>
    <w:rsid w:val="00E149B9"/>
    <w:rsid w:val="00E14EF0"/>
    <w:rsid w:val="00E15BF9"/>
    <w:rsid w:val="00E15E59"/>
    <w:rsid w:val="00E1782F"/>
    <w:rsid w:val="00E20EAF"/>
    <w:rsid w:val="00E21BC8"/>
    <w:rsid w:val="00E226C6"/>
    <w:rsid w:val="00E236B5"/>
    <w:rsid w:val="00E25B8E"/>
    <w:rsid w:val="00E30DA6"/>
    <w:rsid w:val="00E33AF9"/>
    <w:rsid w:val="00E35333"/>
    <w:rsid w:val="00E35F60"/>
    <w:rsid w:val="00E364F7"/>
    <w:rsid w:val="00E40A5F"/>
    <w:rsid w:val="00E412C9"/>
    <w:rsid w:val="00E41D9C"/>
    <w:rsid w:val="00E43068"/>
    <w:rsid w:val="00E43432"/>
    <w:rsid w:val="00E43D1B"/>
    <w:rsid w:val="00E44CBD"/>
    <w:rsid w:val="00E452B3"/>
    <w:rsid w:val="00E454FB"/>
    <w:rsid w:val="00E51772"/>
    <w:rsid w:val="00E61717"/>
    <w:rsid w:val="00E6466C"/>
    <w:rsid w:val="00E655D3"/>
    <w:rsid w:val="00E65658"/>
    <w:rsid w:val="00E65795"/>
    <w:rsid w:val="00E660D3"/>
    <w:rsid w:val="00E701BD"/>
    <w:rsid w:val="00E70E8F"/>
    <w:rsid w:val="00E71A4B"/>
    <w:rsid w:val="00E72ED2"/>
    <w:rsid w:val="00E72ED4"/>
    <w:rsid w:val="00E7354D"/>
    <w:rsid w:val="00E73FF9"/>
    <w:rsid w:val="00E74014"/>
    <w:rsid w:val="00E756C4"/>
    <w:rsid w:val="00E75838"/>
    <w:rsid w:val="00E77678"/>
    <w:rsid w:val="00E777FA"/>
    <w:rsid w:val="00E80A42"/>
    <w:rsid w:val="00E80D3E"/>
    <w:rsid w:val="00E811A9"/>
    <w:rsid w:val="00E814D7"/>
    <w:rsid w:val="00E81B42"/>
    <w:rsid w:val="00E84A40"/>
    <w:rsid w:val="00E8533B"/>
    <w:rsid w:val="00E85378"/>
    <w:rsid w:val="00E8542A"/>
    <w:rsid w:val="00E85B2C"/>
    <w:rsid w:val="00E85DA7"/>
    <w:rsid w:val="00E868E8"/>
    <w:rsid w:val="00E87036"/>
    <w:rsid w:val="00E872A7"/>
    <w:rsid w:val="00E872D9"/>
    <w:rsid w:val="00E8767D"/>
    <w:rsid w:val="00E90A3F"/>
    <w:rsid w:val="00E935FE"/>
    <w:rsid w:val="00E93B5B"/>
    <w:rsid w:val="00E941CD"/>
    <w:rsid w:val="00E94C61"/>
    <w:rsid w:val="00E957A7"/>
    <w:rsid w:val="00E97025"/>
    <w:rsid w:val="00E97944"/>
    <w:rsid w:val="00E97A31"/>
    <w:rsid w:val="00EA1771"/>
    <w:rsid w:val="00EA4222"/>
    <w:rsid w:val="00EA7F3F"/>
    <w:rsid w:val="00EA7F66"/>
    <w:rsid w:val="00EB0140"/>
    <w:rsid w:val="00EB0825"/>
    <w:rsid w:val="00EB1E63"/>
    <w:rsid w:val="00EB47A4"/>
    <w:rsid w:val="00EB4F88"/>
    <w:rsid w:val="00EC12C7"/>
    <w:rsid w:val="00EC2BCF"/>
    <w:rsid w:val="00EC3539"/>
    <w:rsid w:val="00EC38A2"/>
    <w:rsid w:val="00EC5B88"/>
    <w:rsid w:val="00EC5C88"/>
    <w:rsid w:val="00EC5CA1"/>
    <w:rsid w:val="00ED0431"/>
    <w:rsid w:val="00ED0AC5"/>
    <w:rsid w:val="00ED0F00"/>
    <w:rsid w:val="00ED1141"/>
    <w:rsid w:val="00ED17E1"/>
    <w:rsid w:val="00ED1CD5"/>
    <w:rsid w:val="00ED1D12"/>
    <w:rsid w:val="00ED3918"/>
    <w:rsid w:val="00ED48A7"/>
    <w:rsid w:val="00EE01A6"/>
    <w:rsid w:val="00EE32FD"/>
    <w:rsid w:val="00EF0D13"/>
    <w:rsid w:val="00EF2562"/>
    <w:rsid w:val="00EF6068"/>
    <w:rsid w:val="00EF66BA"/>
    <w:rsid w:val="00F00B74"/>
    <w:rsid w:val="00F01636"/>
    <w:rsid w:val="00F02854"/>
    <w:rsid w:val="00F02EE5"/>
    <w:rsid w:val="00F02F3F"/>
    <w:rsid w:val="00F03069"/>
    <w:rsid w:val="00F06A19"/>
    <w:rsid w:val="00F075D4"/>
    <w:rsid w:val="00F076A5"/>
    <w:rsid w:val="00F103A7"/>
    <w:rsid w:val="00F11C10"/>
    <w:rsid w:val="00F14CF2"/>
    <w:rsid w:val="00F14F2F"/>
    <w:rsid w:val="00F15F1C"/>
    <w:rsid w:val="00F16CAD"/>
    <w:rsid w:val="00F1771C"/>
    <w:rsid w:val="00F224C9"/>
    <w:rsid w:val="00F2253B"/>
    <w:rsid w:val="00F225D9"/>
    <w:rsid w:val="00F22EE1"/>
    <w:rsid w:val="00F2312F"/>
    <w:rsid w:val="00F24AAA"/>
    <w:rsid w:val="00F2517F"/>
    <w:rsid w:val="00F251A2"/>
    <w:rsid w:val="00F26F24"/>
    <w:rsid w:val="00F277D2"/>
    <w:rsid w:val="00F3255B"/>
    <w:rsid w:val="00F33BEE"/>
    <w:rsid w:val="00F348F5"/>
    <w:rsid w:val="00F40E66"/>
    <w:rsid w:val="00F41E62"/>
    <w:rsid w:val="00F42D83"/>
    <w:rsid w:val="00F43432"/>
    <w:rsid w:val="00F43AA9"/>
    <w:rsid w:val="00F43EBA"/>
    <w:rsid w:val="00F45815"/>
    <w:rsid w:val="00F45858"/>
    <w:rsid w:val="00F502DA"/>
    <w:rsid w:val="00F515E1"/>
    <w:rsid w:val="00F5207E"/>
    <w:rsid w:val="00F60294"/>
    <w:rsid w:val="00F6082C"/>
    <w:rsid w:val="00F60F9B"/>
    <w:rsid w:val="00F61AD3"/>
    <w:rsid w:val="00F654DF"/>
    <w:rsid w:val="00F66ED7"/>
    <w:rsid w:val="00F70E7F"/>
    <w:rsid w:val="00F7124D"/>
    <w:rsid w:val="00F71322"/>
    <w:rsid w:val="00F71669"/>
    <w:rsid w:val="00F73899"/>
    <w:rsid w:val="00F75FCC"/>
    <w:rsid w:val="00F76A40"/>
    <w:rsid w:val="00F77DE9"/>
    <w:rsid w:val="00F80388"/>
    <w:rsid w:val="00F80A89"/>
    <w:rsid w:val="00F82054"/>
    <w:rsid w:val="00F841E6"/>
    <w:rsid w:val="00F84A3D"/>
    <w:rsid w:val="00F84B7A"/>
    <w:rsid w:val="00F860DC"/>
    <w:rsid w:val="00F861EF"/>
    <w:rsid w:val="00F90193"/>
    <w:rsid w:val="00F91DAA"/>
    <w:rsid w:val="00F93DD4"/>
    <w:rsid w:val="00F94CA2"/>
    <w:rsid w:val="00F96532"/>
    <w:rsid w:val="00F9659C"/>
    <w:rsid w:val="00FA05D9"/>
    <w:rsid w:val="00FA300B"/>
    <w:rsid w:val="00FA39A2"/>
    <w:rsid w:val="00FA3B93"/>
    <w:rsid w:val="00FA5C73"/>
    <w:rsid w:val="00FB02C4"/>
    <w:rsid w:val="00FB11C1"/>
    <w:rsid w:val="00FB16EB"/>
    <w:rsid w:val="00FB6951"/>
    <w:rsid w:val="00FB6BE4"/>
    <w:rsid w:val="00FB7362"/>
    <w:rsid w:val="00FB7CE3"/>
    <w:rsid w:val="00FC070E"/>
    <w:rsid w:val="00FC0F62"/>
    <w:rsid w:val="00FC14F6"/>
    <w:rsid w:val="00FC1A1E"/>
    <w:rsid w:val="00FC1E7A"/>
    <w:rsid w:val="00FC4F7C"/>
    <w:rsid w:val="00FC5C91"/>
    <w:rsid w:val="00FC7FD2"/>
    <w:rsid w:val="00FD2AA4"/>
    <w:rsid w:val="00FD3133"/>
    <w:rsid w:val="00FD511C"/>
    <w:rsid w:val="00FD7653"/>
    <w:rsid w:val="00FE0B01"/>
    <w:rsid w:val="00FE2A7E"/>
    <w:rsid w:val="00FE2F28"/>
    <w:rsid w:val="00FE3225"/>
    <w:rsid w:val="00FE767B"/>
    <w:rsid w:val="00FF0C1B"/>
    <w:rsid w:val="00FF0C2A"/>
    <w:rsid w:val="00FF18DD"/>
    <w:rsid w:val="00FF1EAA"/>
    <w:rsid w:val="00FF229B"/>
    <w:rsid w:val="00FF2B9D"/>
    <w:rsid w:val="00FF4C85"/>
    <w:rsid w:val="00FF6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ADDF44"/>
  <w15:docId w15:val="{97DA18A0-7F67-467F-AA56-5D2E14D0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620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A5E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552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1274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208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0A10CE"/>
    <w:pPr>
      <w:outlineLvl w:val="9"/>
    </w:pPr>
    <w:rPr>
      <w:lang w:eastAsia="pt-BR"/>
    </w:rPr>
  </w:style>
  <w:style w:type="paragraph" w:styleId="Sumrio1">
    <w:name w:val="toc 1"/>
    <w:basedOn w:val="Normal"/>
    <w:next w:val="Normal"/>
    <w:autoRedefine/>
    <w:uiPriority w:val="39"/>
    <w:unhideWhenUsed/>
    <w:rsid w:val="000A10CE"/>
    <w:pPr>
      <w:spacing w:after="100"/>
    </w:pPr>
  </w:style>
  <w:style w:type="character" w:styleId="Hyperlink">
    <w:name w:val="Hyperlink"/>
    <w:basedOn w:val="Fontepargpadro"/>
    <w:uiPriority w:val="99"/>
    <w:unhideWhenUsed/>
    <w:rsid w:val="000A10CE"/>
    <w:rPr>
      <w:color w:val="0000FF" w:themeColor="hyperlink"/>
      <w:u w:val="single"/>
    </w:rPr>
  </w:style>
  <w:style w:type="paragraph" w:styleId="Textodebalo">
    <w:name w:val="Balloon Text"/>
    <w:basedOn w:val="Normal"/>
    <w:link w:val="TextodebaloChar"/>
    <w:uiPriority w:val="99"/>
    <w:semiHidden/>
    <w:unhideWhenUsed/>
    <w:rsid w:val="000A10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10CE"/>
    <w:rPr>
      <w:rFonts w:ascii="Tahoma" w:hAnsi="Tahoma" w:cs="Tahoma"/>
      <w:sz w:val="16"/>
      <w:szCs w:val="16"/>
    </w:rPr>
  </w:style>
  <w:style w:type="character" w:customStyle="1" w:styleId="Ttulo2Char">
    <w:name w:val="Título 2 Char"/>
    <w:basedOn w:val="Fontepargpadro"/>
    <w:link w:val="Ttulo2"/>
    <w:uiPriority w:val="9"/>
    <w:rsid w:val="00CA5E69"/>
    <w:rPr>
      <w:rFonts w:asciiTheme="majorHAnsi" w:eastAsiaTheme="majorEastAsia" w:hAnsiTheme="majorHAnsi" w:cstheme="majorBidi"/>
      <w:b/>
      <w:bCs/>
      <w:color w:val="4F81BD" w:themeColor="accent1"/>
      <w:sz w:val="26"/>
      <w:szCs w:val="26"/>
    </w:rPr>
  </w:style>
  <w:style w:type="paragraph" w:styleId="Sumrio2">
    <w:name w:val="toc 2"/>
    <w:basedOn w:val="Normal"/>
    <w:next w:val="Normal"/>
    <w:autoRedefine/>
    <w:uiPriority w:val="39"/>
    <w:unhideWhenUsed/>
    <w:rsid w:val="00AB39EE"/>
    <w:pPr>
      <w:tabs>
        <w:tab w:val="left" w:pos="880"/>
        <w:tab w:val="right" w:leader="dot" w:pos="9061"/>
      </w:tabs>
      <w:spacing w:after="100"/>
    </w:pPr>
  </w:style>
  <w:style w:type="paragraph" w:styleId="Cabealho">
    <w:name w:val="header"/>
    <w:basedOn w:val="Normal"/>
    <w:link w:val="CabealhoChar"/>
    <w:uiPriority w:val="99"/>
    <w:unhideWhenUsed/>
    <w:rsid w:val="008B51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513A"/>
  </w:style>
  <w:style w:type="paragraph" w:styleId="Rodap">
    <w:name w:val="footer"/>
    <w:basedOn w:val="Normal"/>
    <w:link w:val="RodapChar"/>
    <w:uiPriority w:val="99"/>
    <w:unhideWhenUsed/>
    <w:rsid w:val="008B513A"/>
    <w:pPr>
      <w:tabs>
        <w:tab w:val="center" w:pos="4252"/>
        <w:tab w:val="right" w:pos="8504"/>
      </w:tabs>
      <w:spacing w:after="0" w:line="240" w:lineRule="auto"/>
    </w:pPr>
  </w:style>
  <w:style w:type="character" w:customStyle="1" w:styleId="RodapChar">
    <w:name w:val="Rodapé Char"/>
    <w:basedOn w:val="Fontepargpadro"/>
    <w:link w:val="Rodap"/>
    <w:uiPriority w:val="99"/>
    <w:rsid w:val="008B513A"/>
  </w:style>
  <w:style w:type="paragraph" w:styleId="PargrafodaLista">
    <w:name w:val="List Paragraph"/>
    <w:basedOn w:val="Normal"/>
    <w:uiPriority w:val="34"/>
    <w:qFormat/>
    <w:rsid w:val="005506A9"/>
    <w:pPr>
      <w:ind w:left="720"/>
      <w:contextualSpacing/>
    </w:pPr>
  </w:style>
  <w:style w:type="character" w:styleId="Refdecomentrio">
    <w:name w:val="annotation reference"/>
    <w:basedOn w:val="Fontepargpadro"/>
    <w:uiPriority w:val="99"/>
    <w:semiHidden/>
    <w:unhideWhenUsed/>
    <w:rsid w:val="009A7BE4"/>
    <w:rPr>
      <w:sz w:val="16"/>
      <w:szCs w:val="16"/>
    </w:rPr>
  </w:style>
  <w:style w:type="paragraph" w:styleId="Textodecomentrio">
    <w:name w:val="annotation text"/>
    <w:basedOn w:val="Normal"/>
    <w:link w:val="TextodecomentrioChar"/>
    <w:uiPriority w:val="99"/>
    <w:semiHidden/>
    <w:unhideWhenUsed/>
    <w:rsid w:val="009A7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7BE4"/>
    <w:rPr>
      <w:sz w:val="20"/>
      <w:szCs w:val="20"/>
    </w:rPr>
  </w:style>
  <w:style w:type="paragraph" w:styleId="Assuntodocomentrio">
    <w:name w:val="annotation subject"/>
    <w:basedOn w:val="Textodecomentrio"/>
    <w:next w:val="Textodecomentrio"/>
    <w:link w:val="AssuntodocomentrioChar"/>
    <w:uiPriority w:val="99"/>
    <w:semiHidden/>
    <w:unhideWhenUsed/>
    <w:rsid w:val="009A7BE4"/>
    <w:rPr>
      <w:b/>
      <w:bCs/>
    </w:rPr>
  </w:style>
  <w:style w:type="character" w:customStyle="1" w:styleId="AssuntodocomentrioChar">
    <w:name w:val="Assunto do comentário Char"/>
    <w:basedOn w:val="TextodecomentrioChar"/>
    <w:link w:val="Assuntodocomentrio"/>
    <w:uiPriority w:val="99"/>
    <w:semiHidden/>
    <w:rsid w:val="009A7BE4"/>
    <w:rPr>
      <w:b/>
      <w:bCs/>
      <w:sz w:val="20"/>
      <w:szCs w:val="20"/>
    </w:rPr>
  </w:style>
  <w:style w:type="character" w:styleId="HiperlinkVisitado">
    <w:name w:val="FollowedHyperlink"/>
    <w:basedOn w:val="Fontepargpadro"/>
    <w:uiPriority w:val="99"/>
    <w:semiHidden/>
    <w:unhideWhenUsed/>
    <w:rsid w:val="007F1467"/>
    <w:rPr>
      <w:color w:val="800080" w:themeColor="followedHyperlink"/>
      <w:u w:val="single"/>
    </w:rPr>
  </w:style>
  <w:style w:type="character" w:customStyle="1" w:styleId="Ttulo3Char">
    <w:name w:val="Título 3 Char"/>
    <w:basedOn w:val="Fontepargpadro"/>
    <w:link w:val="Ttulo3"/>
    <w:uiPriority w:val="9"/>
    <w:rsid w:val="00955202"/>
    <w:rPr>
      <w:rFonts w:asciiTheme="majorHAnsi" w:eastAsiaTheme="majorEastAsia" w:hAnsiTheme="majorHAnsi" w:cstheme="majorBidi"/>
      <w:color w:val="243F60" w:themeColor="accent1" w:themeShade="7F"/>
      <w:sz w:val="24"/>
      <w:szCs w:val="24"/>
    </w:rPr>
  </w:style>
  <w:style w:type="paragraph" w:styleId="Sumrio3">
    <w:name w:val="toc 3"/>
    <w:basedOn w:val="Normal"/>
    <w:next w:val="Normal"/>
    <w:autoRedefine/>
    <w:uiPriority w:val="39"/>
    <w:unhideWhenUsed/>
    <w:rsid w:val="00AB39EE"/>
    <w:pPr>
      <w:tabs>
        <w:tab w:val="right" w:leader="dot" w:pos="9061"/>
      </w:tabs>
      <w:spacing w:after="100"/>
    </w:pPr>
  </w:style>
  <w:style w:type="character" w:styleId="Nmerodepgina">
    <w:name w:val="page number"/>
    <w:rsid w:val="00561B24"/>
  </w:style>
  <w:style w:type="character" w:styleId="TextodoEspaoReservado">
    <w:name w:val="Placeholder Text"/>
    <w:basedOn w:val="Fontepargpadro"/>
    <w:uiPriority w:val="99"/>
    <w:semiHidden/>
    <w:rsid w:val="00B07644"/>
    <w:rPr>
      <w:color w:val="808080"/>
    </w:rPr>
  </w:style>
  <w:style w:type="character" w:customStyle="1" w:styleId="Ttulo4Char">
    <w:name w:val="Título 4 Char"/>
    <w:basedOn w:val="Fontepargpadro"/>
    <w:link w:val="Ttulo4"/>
    <w:uiPriority w:val="9"/>
    <w:rsid w:val="001274B8"/>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Fontepargpadro"/>
    <w:rsid w:val="00D16008"/>
  </w:style>
  <w:style w:type="table" w:styleId="Tabelacomgrade">
    <w:name w:val="Table Grid"/>
    <w:basedOn w:val="Tabelanormal"/>
    <w:uiPriority w:val="59"/>
    <w:rsid w:val="00C06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41471"/>
    <w:pPr>
      <w:spacing w:after="0" w:line="240" w:lineRule="auto"/>
    </w:pPr>
  </w:style>
  <w:style w:type="table" w:customStyle="1" w:styleId="TabeladeGradeClara1">
    <w:name w:val="Tabela de Grade Clara1"/>
    <w:basedOn w:val="Tabelanormal"/>
    <w:uiPriority w:val="40"/>
    <w:rsid w:val="002336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0746">
      <w:bodyDiv w:val="1"/>
      <w:marLeft w:val="0"/>
      <w:marRight w:val="0"/>
      <w:marTop w:val="0"/>
      <w:marBottom w:val="0"/>
      <w:divBdr>
        <w:top w:val="none" w:sz="0" w:space="0" w:color="auto"/>
        <w:left w:val="none" w:sz="0" w:space="0" w:color="auto"/>
        <w:bottom w:val="none" w:sz="0" w:space="0" w:color="auto"/>
        <w:right w:val="none" w:sz="0" w:space="0" w:color="auto"/>
      </w:divBdr>
    </w:div>
    <w:div w:id="134880570">
      <w:bodyDiv w:val="1"/>
      <w:marLeft w:val="0"/>
      <w:marRight w:val="0"/>
      <w:marTop w:val="0"/>
      <w:marBottom w:val="0"/>
      <w:divBdr>
        <w:top w:val="none" w:sz="0" w:space="0" w:color="auto"/>
        <w:left w:val="none" w:sz="0" w:space="0" w:color="auto"/>
        <w:bottom w:val="none" w:sz="0" w:space="0" w:color="auto"/>
        <w:right w:val="none" w:sz="0" w:space="0" w:color="auto"/>
      </w:divBdr>
    </w:div>
    <w:div w:id="188494365">
      <w:bodyDiv w:val="1"/>
      <w:marLeft w:val="0"/>
      <w:marRight w:val="0"/>
      <w:marTop w:val="0"/>
      <w:marBottom w:val="0"/>
      <w:divBdr>
        <w:top w:val="none" w:sz="0" w:space="0" w:color="auto"/>
        <w:left w:val="none" w:sz="0" w:space="0" w:color="auto"/>
        <w:bottom w:val="none" w:sz="0" w:space="0" w:color="auto"/>
        <w:right w:val="none" w:sz="0" w:space="0" w:color="auto"/>
      </w:divBdr>
    </w:div>
    <w:div w:id="255526322">
      <w:bodyDiv w:val="1"/>
      <w:marLeft w:val="0"/>
      <w:marRight w:val="0"/>
      <w:marTop w:val="0"/>
      <w:marBottom w:val="0"/>
      <w:divBdr>
        <w:top w:val="none" w:sz="0" w:space="0" w:color="auto"/>
        <w:left w:val="none" w:sz="0" w:space="0" w:color="auto"/>
        <w:bottom w:val="none" w:sz="0" w:space="0" w:color="auto"/>
        <w:right w:val="none" w:sz="0" w:space="0" w:color="auto"/>
      </w:divBdr>
    </w:div>
    <w:div w:id="643462742">
      <w:bodyDiv w:val="1"/>
      <w:marLeft w:val="0"/>
      <w:marRight w:val="0"/>
      <w:marTop w:val="0"/>
      <w:marBottom w:val="0"/>
      <w:divBdr>
        <w:top w:val="none" w:sz="0" w:space="0" w:color="auto"/>
        <w:left w:val="none" w:sz="0" w:space="0" w:color="auto"/>
        <w:bottom w:val="none" w:sz="0" w:space="0" w:color="auto"/>
        <w:right w:val="none" w:sz="0" w:space="0" w:color="auto"/>
      </w:divBdr>
    </w:div>
    <w:div w:id="677198908">
      <w:bodyDiv w:val="1"/>
      <w:marLeft w:val="0"/>
      <w:marRight w:val="0"/>
      <w:marTop w:val="0"/>
      <w:marBottom w:val="0"/>
      <w:divBdr>
        <w:top w:val="none" w:sz="0" w:space="0" w:color="auto"/>
        <w:left w:val="none" w:sz="0" w:space="0" w:color="auto"/>
        <w:bottom w:val="none" w:sz="0" w:space="0" w:color="auto"/>
        <w:right w:val="none" w:sz="0" w:space="0" w:color="auto"/>
      </w:divBdr>
    </w:div>
    <w:div w:id="878903890">
      <w:bodyDiv w:val="1"/>
      <w:marLeft w:val="0"/>
      <w:marRight w:val="0"/>
      <w:marTop w:val="0"/>
      <w:marBottom w:val="0"/>
      <w:divBdr>
        <w:top w:val="none" w:sz="0" w:space="0" w:color="auto"/>
        <w:left w:val="none" w:sz="0" w:space="0" w:color="auto"/>
        <w:bottom w:val="none" w:sz="0" w:space="0" w:color="auto"/>
        <w:right w:val="none" w:sz="0" w:space="0" w:color="auto"/>
      </w:divBdr>
    </w:div>
    <w:div w:id="1073770977">
      <w:bodyDiv w:val="1"/>
      <w:marLeft w:val="0"/>
      <w:marRight w:val="0"/>
      <w:marTop w:val="0"/>
      <w:marBottom w:val="0"/>
      <w:divBdr>
        <w:top w:val="none" w:sz="0" w:space="0" w:color="auto"/>
        <w:left w:val="none" w:sz="0" w:space="0" w:color="auto"/>
        <w:bottom w:val="none" w:sz="0" w:space="0" w:color="auto"/>
        <w:right w:val="none" w:sz="0" w:space="0" w:color="auto"/>
      </w:divBdr>
    </w:div>
    <w:div w:id="1100838951">
      <w:bodyDiv w:val="1"/>
      <w:marLeft w:val="0"/>
      <w:marRight w:val="0"/>
      <w:marTop w:val="0"/>
      <w:marBottom w:val="0"/>
      <w:divBdr>
        <w:top w:val="none" w:sz="0" w:space="0" w:color="auto"/>
        <w:left w:val="none" w:sz="0" w:space="0" w:color="auto"/>
        <w:bottom w:val="none" w:sz="0" w:space="0" w:color="auto"/>
        <w:right w:val="none" w:sz="0" w:space="0" w:color="auto"/>
      </w:divBdr>
    </w:div>
    <w:div w:id="1105030245">
      <w:bodyDiv w:val="1"/>
      <w:marLeft w:val="0"/>
      <w:marRight w:val="0"/>
      <w:marTop w:val="0"/>
      <w:marBottom w:val="0"/>
      <w:divBdr>
        <w:top w:val="none" w:sz="0" w:space="0" w:color="auto"/>
        <w:left w:val="none" w:sz="0" w:space="0" w:color="auto"/>
        <w:bottom w:val="none" w:sz="0" w:space="0" w:color="auto"/>
        <w:right w:val="none" w:sz="0" w:space="0" w:color="auto"/>
      </w:divBdr>
    </w:div>
    <w:div w:id="1152480527">
      <w:bodyDiv w:val="1"/>
      <w:marLeft w:val="0"/>
      <w:marRight w:val="0"/>
      <w:marTop w:val="0"/>
      <w:marBottom w:val="0"/>
      <w:divBdr>
        <w:top w:val="none" w:sz="0" w:space="0" w:color="auto"/>
        <w:left w:val="none" w:sz="0" w:space="0" w:color="auto"/>
        <w:bottom w:val="none" w:sz="0" w:space="0" w:color="auto"/>
        <w:right w:val="none" w:sz="0" w:space="0" w:color="auto"/>
      </w:divBdr>
    </w:div>
    <w:div w:id="1191725539">
      <w:bodyDiv w:val="1"/>
      <w:marLeft w:val="0"/>
      <w:marRight w:val="0"/>
      <w:marTop w:val="0"/>
      <w:marBottom w:val="0"/>
      <w:divBdr>
        <w:top w:val="none" w:sz="0" w:space="0" w:color="auto"/>
        <w:left w:val="none" w:sz="0" w:space="0" w:color="auto"/>
        <w:bottom w:val="none" w:sz="0" w:space="0" w:color="auto"/>
        <w:right w:val="none" w:sz="0" w:space="0" w:color="auto"/>
      </w:divBdr>
    </w:div>
    <w:div w:id="1300837184">
      <w:bodyDiv w:val="1"/>
      <w:marLeft w:val="0"/>
      <w:marRight w:val="0"/>
      <w:marTop w:val="0"/>
      <w:marBottom w:val="0"/>
      <w:divBdr>
        <w:top w:val="none" w:sz="0" w:space="0" w:color="auto"/>
        <w:left w:val="none" w:sz="0" w:space="0" w:color="auto"/>
        <w:bottom w:val="none" w:sz="0" w:space="0" w:color="auto"/>
        <w:right w:val="none" w:sz="0" w:space="0" w:color="auto"/>
      </w:divBdr>
    </w:div>
    <w:div w:id="1427188791">
      <w:bodyDiv w:val="1"/>
      <w:marLeft w:val="0"/>
      <w:marRight w:val="0"/>
      <w:marTop w:val="0"/>
      <w:marBottom w:val="0"/>
      <w:divBdr>
        <w:top w:val="none" w:sz="0" w:space="0" w:color="auto"/>
        <w:left w:val="none" w:sz="0" w:space="0" w:color="auto"/>
        <w:bottom w:val="none" w:sz="0" w:space="0" w:color="auto"/>
        <w:right w:val="none" w:sz="0" w:space="0" w:color="auto"/>
      </w:divBdr>
    </w:div>
    <w:div w:id="1450781337">
      <w:bodyDiv w:val="1"/>
      <w:marLeft w:val="0"/>
      <w:marRight w:val="0"/>
      <w:marTop w:val="0"/>
      <w:marBottom w:val="0"/>
      <w:divBdr>
        <w:top w:val="none" w:sz="0" w:space="0" w:color="auto"/>
        <w:left w:val="none" w:sz="0" w:space="0" w:color="auto"/>
        <w:bottom w:val="none" w:sz="0" w:space="0" w:color="auto"/>
        <w:right w:val="none" w:sz="0" w:space="0" w:color="auto"/>
      </w:divBdr>
    </w:div>
    <w:div w:id="1525048270">
      <w:bodyDiv w:val="1"/>
      <w:marLeft w:val="0"/>
      <w:marRight w:val="0"/>
      <w:marTop w:val="0"/>
      <w:marBottom w:val="0"/>
      <w:divBdr>
        <w:top w:val="none" w:sz="0" w:space="0" w:color="auto"/>
        <w:left w:val="none" w:sz="0" w:space="0" w:color="auto"/>
        <w:bottom w:val="none" w:sz="0" w:space="0" w:color="auto"/>
        <w:right w:val="none" w:sz="0" w:space="0" w:color="auto"/>
      </w:divBdr>
    </w:div>
    <w:div w:id="1564100710">
      <w:bodyDiv w:val="1"/>
      <w:marLeft w:val="0"/>
      <w:marRight w:val="0"/>
      <w:marTop w:val="0"/>
      <w:marBottom w:val="0"/>
      <w:divBdr>
        <w:top w:val="none" w:sz="0" w:space="0" w:color="auto"/>
        <w:left w:val="none" w:sz="0" w:space="0" w:color="auto"/>
        <w:bottom w:val="none" w:sz="0" w:space="0" w:color="auto"/>
        <w:right w:val="none" w:sz="0" w:space="0" w:color="auto"/>
      </w:divBdr>
    </w:div>
    <w:div w:id="1574657231">
      <w:bodyDiv w:val="1"/>
      <w:marLeft w:val="0"/>
      <w:marRight w:val="0"/>
      <w:marTop w:val="0"/>
      <w:marBottom w:val="0"/>
      <w:divBdr>
        <w:top w:val="none" w:sz="0" w:space="0" w:color="auto"/>
        <w:left w:val="none" w:sz="0" w:space="0" w:color="auto"/>
        <w:bottom w:val="none" w:sz="0" w:space="0" w:color="auto"/>
        <w:right w:val="none" w:sz="0" w:space="0" w:color="auto"/>
      </w:divBdr>
    </w:div>
    <w:div w:id="1809322617">
      <w:bodyDiv w:val="1"/>
      <w:marLeft w:val="0"/>
      <w:marRight w:val="0"/>
      <w:marTop w:val="0"/>
      <w:marBottom w:val="0"/>
      <w:divBdr>
        <w:top w:val="none" w:sz="0" w:space="0" w:color="auto"/>
        <w:left w:val="none" w:sz="0" w:space="0" w:color="auto"/>
        <w:bottom w:val="none" w:sz="0" w:space="0" w:color="auto"/>
        <w:right w:val="none" w:sz="0" w:space="0" w:color="auto"/>
      </w:divBdr>
    </w:div>
    <w:div w:id="1833332245">
      <w:bodyDiv w:val="1"/>
      <w:marLeft w:val="0"/>
      <w:marRight w:val="0"/>
      <w:marTop w:val="0"/>
      <w:marBottom w:val="0"/>
      <w:divBdr>
        <w:top w:val="none" w:sz="0" w:space="0" w:color="auto"/>
        <w:left w:val="none" w:sz="0" w:space="0" w:color="auto"/>
        <w:bottom w:val="none" w:sz="0" w:space="0" w:color="auto"/>
        <w:right w:val="none" w:sz="0" w:space="0" w:color="auto"/>
      </w:divBdr>
    </w:div>
    <w:div w:id="1876304492">
      <w:bodyDiv w:val="1"/>
      <w:marLeft w:val="0"/>
      <w:marRight w:val="0"/>
      <w:marTop w:val="0"/>
      <w:marBottom w:val="0"/>
      <w:divBdr>
        <w:top w:val="none" w:sz="0" w:space="0" w:color="auto"/>
        <w:left w:val="none" w:sz="0" w:space="0" w:color="auto"/>
        <w:bottom w:val="none" w:sz="0" w:space="0" w:color="auto"/>
        <w:right w:val="none" w:sz="0" w:space="0" w:color="auto"/>
      </w:divBdr>
    </w:div>
    <w:div w:id="1966233400">
      <w:bodyDiv w:val="1"/>
      <w:marLeft w:val="0"/>
      <w:marRight w:val="0"/>
      <w:marTop w:val="0"/>
      <w:marBottom w:val="0"/>
      <w:divBdr>
        <w:top w:val="none" w:sz="0" w:space="0" w:color="auto"/>
        <w:left w:val="none" w:sz="0" w:space="0" w:color="auto"/>
        <w:bottom w:val="none" w:sz="0" w:space="0" w:color="auto"/>
        <w:right w:val="none" w:sz="0" w:space="0" w:color="auto"/>
      </w:divBdr>
    </w:div>
    <w:div w:id="20139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sb.org/jsp/FASB/Document_C/DocumentPage?cid=1218220123701&amp;acceptedDisclaimer=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ep.gov.br/setores-susep/cgsoa/coris/dicem/modelo-de-interpolacao-e-extrapolacao-da-ett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usep.gov.br/setores-susep/cgsoa/coris/dicem/modelo-de-interpolacao-e-extrapolacao-da-ettj"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MESTRADO\Mestrado\Mestrado\Projeto%20Escritura&#231;&#227;o\BALAN&#199;OS\Teste%20com%20Bradesco%20Segur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CurvaZero_16092016!$C$6</c:f>
              <c:strCache>
                <c:ptCount val="1"/>
                <c:pt idx="0">
                  <c:v>ETTJ PRE 2016</c:v>
                </c:pt>
              </c:strCache>
            </c:strRef>
          </c:tx>
          <c:spPr>
            <a:ln w="28575" cap="rnd">
              <a:solidFill>
                <a:schemeClr val="accent2"/>
              </a:solidFill>
              <a:round/>
            </a:ln>
            <a:effectLst/>
          </c:spPr>
          <c:marker>
            <c:symbol val="none"/>
          </c:marker>
          <c:cat>
            <c:numRef>
              <c:f>CurvaZero_16092016!$A$7:$A$22</c:f>
              <c:numCache>
                <c:formatCode>General</c:formatCode>
                <c:ptCount val="16"/>
                <c:pt idx="0">
                  <c:v>252</c:v>
                </c:pt>
                <c:pt idx="1">
                  <c:v>378</c:v>
                </c:pt>
                <c:pt idx="2">
                  <c:v>504</c:v>
                </c:pt>
                <c:pt idx="3">
                  <c:v>630</c:v>
                </c:pt>
                <c:pt idx="4">
                  <c:v>756</c:v>
                </c:pt>
                <c:pt idx="5">
                  <c:v>882</c:v>
                </c:pt>
                <c:pt idx="6" formatCode="#,##0">
                  <c:v>1008</c:v>
                </c:pt>
                <c:pt idx="7" formatCode="#,##0">
                  <c:v>1134</c:v>
                </c:pt>
                <c:pt idx="8" formatCode="#,##0">
                  <c:v>1260</c:v>
                </c:pt>
                <c:pt idx="9" formatCode="#,##0">
                  <c:v>1386</c:v>
                </c:pt>
                <c:pt idx="10" formatCode="#,##0">
                  <c:v>1512</c:v>
                </c:pt>
                <c:pt idx="11" formatCode="#,##0">
                  <c:v>1638</c:v>
                </c:pt>
                <c:pt idx="12" formatCode="#,##0">
                  <c:v>1764</c:v>
                </c:pt>
                <c:pt idx="13" formatCode="#,##0">
                  <c:v>1890</c:v>
                </c:pt>
                <c:pt idx="14" formatCode="#,##0">
                  <c:v>2016</c:v>
                </c:pt>
                <c:pt idx="15" formatCode="#,##0">
                  <c:v>2142</c:v>
                </c:pt>
              </c:numCache>
            </c:numRef>
          </c:cat>
          <c:val>
            <c:numRef>
              <c:f>CurvaZero_16092016!$C$7:$C$22</c:f>
              <c:numCache>
                <c:formatCode>General</c:formatCode>
                <c:ptCount val="16"/>
                <c:pt idx="0">
                  <c:v>12.4139</c:v>
                </c:pt>
                <c:pt idx="1">
                  <c:v>11.895300000000001</c:v>
                </c:pt>
                <c:pt idx="2">
                  <c:v>11.601900000000001</c:v>
                </c:pt>
                <c:pt idx="3">
                  <c:v>11.4422</c:v>
                </c:pt>
                <c:pt idx="4">
                  <c:v>11.357900000000001</c:v>
                </c:pt>
                <c:pt idx="5">
                  <c:v>11.315799999999999</c:v>
                </c:pt>
                <c:pt idx="6">
                  <c:v>11.2974</c:v>
                </c:pt>
                <c:pt idx="7">
                  <c:v>11.292299999999999</c:v>
                </c:pt>
                <c:pt idx="8">
                  <c:v>11.2943</c:v>
                </c:pt>
                <c:pt idx="9">
                  <c:v>11.3002</c:v>
                </c:pt>
                <c:pt idx="10">
                  <c:v>11.3078</c:v>
                </c:pt>
                <c:pt idx="11">
                  <c:v>11.316000000000001</c:v>
                </c:pt>
                <c:pt idx="12">
                  <c:v>11.324199999999999</c:v>
                </c:pt>
                <c:pt idx="13">
                  <c:v>11.332100000000001</c:v>
                </c:pt>
                <c:pt idx="14">
                  <c:v>11.339499999999999</c:v>
                </c:pt>
                <c:pt idx="15">
                  <c:v>11.346399999999999</c:v>
                </c:pt>
              </c:numCache>
            </c:numRef>
          </c:val>
          <c:smooth val="0"/>
          <c:extLst xmlns:c16r2="http://schemas.microsoft.com/office/drawing/2015/06/chart">
            <c:ext xmlns:c16="http://schemas.microsoft.com/office/drawing/2014/chart" uri="{C3380CC4-5D6E-409C-BE32-E72D297353CC}">
              <c16:uniqueId val="{00000000-39A9-49A3-AB9D-B2F7101320A0}"/>
            </c:ext>
          </c:extLst>
        </c:ser>
        <c:ser>
          <c:idx val="2"/>
          <c:order val="2"/>
          <c:tx>
            <c:strRef>
              <c:f>CurvaZero_16092016!$D$6</c:f>
              <c:strCache>
                <c:ptCount val="1"/>
                <c:pt idx="0">
                  <c:v>ETTJ PRE 2015</c:v>
                </c:pt>
              </c:strCache>
            </c:strRef>
          </c:tx>
          <c:spPr>
            <a:ln w="28575" cap="rnd">
              <a:solidFill>
                <a:schemeClr val="accent3"/>
              </a:solidFill>
              <a:round/>
            </a:ln>
            <a:effectLst/>
          </c:spPr>
          <c:marker>
            <c:symbol val="none"/>
          </c:marker>
          <c:cat>
            <c:numRef>
              <c:f>CurvaZero_16092016!$A$7:$A$22</c:f>
              <c:numCache>
                <c:formatCode>General</c:formatCode>
                <c:ptCount val="16"/>
                <c:pt idx="0">
                  <c:v>252</c:v>
                </c:pt>
                <c:pt idx="1">
                  <c:v>378</c:v>
                </c:pt>
                <c:pt idx="2">
                  <c:v>504</c:v>
                </c:pt>
                <c:pt idx="3">
                  <c:v>630</c:v>
                </c:pt>
                <c:pt idx="4">
                  <c:v>756</c:v>
                </c:pt>
                <c:pt idx="5">
                  <c:v>882</c:v>
                </c:pt>
                <c:pt idx="6" formatCode="#,##0">
                  <c:v>1008</c:v>
                </c:pt>
                <c:pt idx="7" formatCode="#,##0">
                  <c:v>1134</c:v>
                </c:pt>
                <c:pt idx="8" formatCode="#,##0">
                  <c:v>1260</c:v>
                </c:pt>
                <c:pt idx="9" formatCode="#,##0">
                  <c:v>1386</c:v>
                </c:pt>
                <c:pt idx="10" formatCode="#,##0">
                  <c:v>1512</c:v>
                </c:pt>
                <c:pt idx="11" formatCode="#,##0">
                  <c:v>1638</c:v>
                </c:pt>
                <c:pt idx="12" formatCode="#,##0">
                  <c:v>1764</c:v>
                </c:pt>
                <c:pt idx="13" formatCode="#,##0">
                  <c:v>1890</c:v>
                </c:pt>
                <c:pt idx="14" formatCode="#,##0">
                  <c:v>2016</c:v>
                </c:pt>
                <c:pt idx="15" formatCode="#,##0">
                  <c:v>2142</c:v>
                </c:pt>
              </c:numCache>
            </c:numRef>
          </c:cat>
          <c:val>
            <c:numRef>
              <c:f>CurvaZero_16092016!$D$7:$D$22</c:f>
              <c:numCache>
                <c:formatCode>#,##0.0000</c:formatCode>
                <c:ptCount val="16"/>
                <c:pt idx="0">
                  <c:v>15.8261</c:v>
                </c:pt>
                <c:pt idx="1">
                  <c:v>16.245100000000001</c:v>
                </c:pt>
                <c:pt idx="2">
                  <c:v>16.4815</c:v>
                </c:pt>
                <c:pt idx="3">
                  <c:v>16.6008</c:v>
                </c:pt>
                <c:pt idx="4">
                  <c:v>16.647600000000001</c:v>
                </c:pt>
                <c:pt idx="5">
                  <c:v>16.651499999999999</c:v>
                </c:pt>
                <c:pt idx="6">
                  <c:v>16.632400000000001</c:v>
                </c:pt>
                <c:pt idx="7">
                  <c:v>16.602799999999998</c:v>
                </c:pt>
                <c:pt idx="8">
                  <c:v>16.570799999999998</c:v>
                </c:pt>
                <c:pt idx="9">
                  <c:v>16.5412</c:v>
                </c:pt>
                <c:pt idx="10">
                  <c:v>16.5169</c:v>
                </c:pt>
                <c:pt idx="11">
                  <c:v>16.499099999999999</c:v>
                </c:pt>
                <c:pt idx="12">
                  <c:v>16.488299999999999</c:v>
                </c:pt>
                <c:pt idx="13">
                  <c:v>16.484500000000001</c:v>
                </c:pt>
                <c:pt idx="14">
                  <c:v>16.487100000000002</c:v>
                </c:pt>
                <c:pt idx="15">
                  <c:v>16.4955</c:v>
                </c:pt>
              </c:numCache>
            </c:numRef>
          </c:val>
          <c:smooth val="0"/>
          <c:extLst xmlns:c16r2="http://schemas.microsoft.com/office/drawing/2015/06/chart">
            <c:ext xmlns:c16="http://schemas.microsoft.com/office/drawing/2014/chart" uri="{C3380CC4-5D6E-409C-BE32-E72D297353CC}">
              <c16:uniqueId val="{00000001-39A9-49A3-AB9D-B2F7101320A0}"/>
            </c:ext>
          </c:extLst>
        </c:ser>
        <c:dLbls>
          <c:showLegendKey val="0"/>
          <c:showVal val="0"/>
          <c:showCatName val="0"/>
          <c:showSerName val="0"/>
          <c:showPercent val="0"/>
          <c:showBubbleSize val="0"/>
        </c:dLbls>
        <c:smooth val="0"/>
        <c:axId val="280497600"/>
        <c:axId val="280206360"/>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CurvaZero_16092016!$B$6</c15:sqref>
                        </c15:formulaRef>
                      </c:ext>
                    </c:extLst>
                    <c:strCache>
                      <c:ptCount val="1"/>
                      <c:pt idx="0">
                        <c:v>ETTJ IPCA</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CurvaZero_16092016!$A$7:$A$22</c15:sqref>
                        </c15:formulaRef>
                      </c:ext>
                    </c:extLst>
                    <c:numCache>
                      <c:formatCode>General</c:formatCode>
                      <c:ptCount val="16"/>
                      <c:pt idx="0">
                        <c:v>252</c:v>
                      </c:pt>
                      <c:pt idx="1">
                        <c:v>378</c:v>
                      </c:pt>
                      <c:pt idx="2">
                        <c:v>504</c:v>
                      </c:pt>
                      <c:pt idx="3">
                        <c:v>630</c:v>
                      </c:pt>
                      <c:pt idx="4">
                        <c:v>756</c:v>
                      </c:pt>
                      <c:pt idx="5">
                        <c:v>882</c:v>
                      </c:pt>
                      <c:pt idx="6" formatCode="#,##0">
                        <c:v>1008</c:v>
                      </c:pt>
                      <c:pt idx="7" formatCode="#,##0">
                        <c:v>1134</c:v>
                      </c:pt>
                      <c:pt idx="8" formatCode="#,##0">
                        <c:v>1260</c:v>
                      </c:pt>
                      <c:pt idx="9" formatCode="#,##0">
                        <c:v>1386</c:v>
                      </c:pt>
                      <c:pt idx="10" formatCode="#,##0">
                        <c:v>1512</c:v>
                      </c:pt>
                      <c:pt idx="11" formatCode="#,##0">
                        <c:v>1638</c:v>
                      </c:pt>
                      <c:pt idx="12" formatCode="#,##0">
                        <c:v>1764</c:v>
                      </c:pt>
                      <c:pt idx="13" formatCode="#,##0">
                        <c:v>1890</c:v>
                      </c:pt>
                      <c:pt idx="14" formatCode="#,##0">
                        <c:v>2016</c:v>
                      </c:pt>
                      <c:pt idx="15" formatCode="#,##0">
                        <c:v>2142</c:v>
                      </c:pt>
                    </c:numCache>
                  </c:numRef>
                </c:cat>
                <c:val>
                  <c:numRef>
                    <c:extLst xmlns:c16r2="http://schemas.microsoft.com/office/drawing/2015/06/chart">
                      <c:ext uri="{02D57815-91ED-43cb-92C2-25804820EDAC}">
                        <c15:formulaRef>
                          <c15:sqref>CurvaZero_16092016!$B$7:$B$22</c15:sqref>
                        </c15:formulaRef>
                      </c:ext>
                    </c:extLst>
                    <c:numCache>
                      <c:formatCode>General</c:formatCode>
                      <c:ptCount val="16"/>
                      <c:pt idx="0">
                        <c:v>6.3585000000000003</c:v>
                      </c:pt>
                      <c:pt idx="1">
                        <c:v>6.1673999999999998</c:v>
                      </c:pt>
                      <c:pt idx="2">
                        <c:v>6.0803000000000003</c:v>
                      </c:pt>
                      <c:pt idx="3">
                        <c:v>6.0427</c:v>
                      </c:pt>
                      <c:pt idx="4">
                        <c:v>6.0263</c:v>
                      </c:pt>
                      <c:pt idx="5">
                        <c:v>6.0170000000000003</c:v>
                      </c:pt>
                      <c:pt idx="6">
                        <c:v>6.0084</c:v>
                      </c:pt>
                      <c:pt idx="7">
                        <c:v>5.9981999999999998</c:v>
                      </c:pt>
                      <c:pt idx="8">
                        <c:v>5.9858000000000002</c:v>
                      </c:pt>
                      <c:pt idx="9">
                        <c:v>5.9714999999999998</c:v>
                      </c:pt>
                      <c:pt idx="10">
                        <c:v>5.9560000000000004</c:v>
                      </c:pt>
                      <c:pt idx="11">
                        <c:v>5.9398</c:v>
                      </c:pt>
                      <c:pt idx="12">
                        <c:v>5.9234999999999998</c:v>
                      </c:pt>
                      <c:pt idx="13">
                        <c:v>5.9074</c:v>
                      </c:pt>
                      <c:pt idx="14">
                        <c:v>5.8917999999999999</c:v>
                      </c:pt>
                      <c:pt idx="15">
                        <c:v>5.8769999999999998</c:v>
                      </c:pt>
                    </c:numCache>
                  </c:numRef>
                </c:val>
                <c:smooth val="0"/>
                <c:extLst xmlns:c16r2="http://schemas.microsoft.com/office/drawing/2015/06/chart">
                  <c:ext xmlns:c16="http://schemas.microsoft.com/office/drawing/2014/chart" uri="{C3380CC4-5D6E-409C-BE32-E72D297353CC}">
                    <c16:uniqueId val="{00000002-39A9-49A3-AB9D-B2F7101320A0}"/>
                  </c:ext>
                </c:extLst>
              </c15:ser>
            </c15:filteredLineSeries>
          </c:ext>
        </c:extLst>
      </c:lineChart>
      <c:catAx>
        <c:axId val="28049760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r>
                  <a:rPr lang="en-US"/>
                  <a:t>Tempo em dias</a:t>
                </a:r>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crossAx val="280206360"/>
        <c:crosses val="autoZero"/>
        <c:auto val="1"/>
        <c:lblAlgn val="ctr"/>
        <c:lblOffset val="100"/>
        <c:noMultiLvlLbl val="0"/>
      </c:catAx>
      <c:valAx>
        <c:axId val="280206360"/>
        <c:scaling>
          <c:orientation val="minMax"/>
          <c:min val="1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r>
                  <a:rPr lang="en-US"/>
                  <a:t>% Taxa de Juros</a:t>
                </a: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crossAx val="280497600"/>
        <c:crosses val="autoZero"/>
        <c:crossBetween val="between"/>
        <c:maj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aseline="0">
          <a:solidFill>
            <a:sysClr val="windowText" lastClr="000000"/>
          </a:solidFill>
          <a:latin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AB67-4E83-4E06-8DF8-4D520D09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19</Pages>
  <Words>6120</Words>
  <Characters>33052</Characters>
  <Application>Microsoft Office Word</Application>
  <DocSecurity>0</DocSecurity>
  <Lines>275</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BARRETO CROTE</dc:creator>
  <cp:lastModifiedBy>Marcelo Barreto Crote</cp:lastModifiedBy>
  <cp:revision>51</cp:revision>
  <cp:lastPrinted>2016-12-19T19:37:00Z</cp:lastPrinted>
  <dcterms:created xsi:type="dcterms:W3CDTF">2016-12-19T00:23:00Z</dcterms:created>
  <dcterms:modified xsi:type="dcterms:W3CDTF">2017-03-31T20:26:00Z</dcterms:modified>
</cp:coreProperties>
</file>